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pict>
          <v:rect id="Rectangle 2" o:spid="_x0000_s1027" o:spt="1" style="position:absolute;left:0pt;margin-left:227.9pt;margin-top:597.65pt;height:92.15pt;width:180.2pt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 inset="0mm,1.27mm,2.54mm,1.27mm">
              <w:txbxContent>
                <w:p/>
              </w:txbxContent>
            </v:textbox>
          </v:rect>
        </w:pic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pict>
          <v:shape id="Picture 3" o:spid="_x0000_s1028" o:spt="75" type="#_x0000_t75" style="position:absolute;left:0pt;margin-left:-89.3pt;margin-top:-71.25pt;height:451.85pt;width:595.35pt;z-index:-25165824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</v:shape>
        </w:pict>
      </w:r>
    </w:p>
    <w:p>
      <w:pPr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pict>
          <v:rect id="矩形 1" o:spid="_x0000_s1029" o:spt="1" style="position:absolute;left:0pt;margin-left:-19.05pt;margin-top:351.8pt;height:262.1pt;width:450.85pt;z-index:251662336;mso-width-relative:page;mso-height-relative:page;" fillcolor="#FFFFFF" filled="t" o:preferrelative="t" stroked="f" coordsize="21600,21600">
            <v:path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ascii="方正小标宋简体" w:hAnsi="方正小标宋简体" w:eastAsia="微软雅黑" w:cs="方正小标宋简体"/>
                      <w:sz w:val="72"/>
                      <w:szCs w:val="72"/>
                    </w:rPr>
                  </w:pPr>
                  <w:r>
                    <w:rPr>
                      <w:rFonts w:hint="eastAsia" w:ascii="方正小标宋简体" w:hAnsi="方正小标宋简体" w:eastAsia="方正小标宋简体" w:cs="方正小标宋简体"/>
                      <w:sz w:val="72"/>
                      <w:szCs w:val="72"/>
                    </w:rPr>
                    <w:t>中央行政事业单位</w:t>
                  </w:r>
                </w:p>
                <w:p>
                  <w:pPr>
                    <w:jc w:val="center"/>
                    <w:rPr>
                      <w:rFonts w:ascii="方正小标宋简体" w:hAnsi="方正小标宋简体" w:eastAsia="方正小标宋简体" w:cs="方正小标宋简体"/>
                      <w:sz w:val="72"/>
                      <w:szCs w:val="72"/>
                    </w:rPr>
                  </w:pPr>
                  <w:r>
                    <w:rPr>
                      <w:rFonts w:hint="eastAsia" w:ascii="方正小标宋简体" w:hAnsi="方正小标宋简体" w:eastAsia="方正小标宋简体" w:cs="方正小标宋简体"/>
                      <w:sz w:val="72"/>
                      <w:szCs w:val="72"/>
                    </w:rPr>
                    <w:t>国有资产处置信息公开系统</w:t>
                  </w:r>
                </w:p>
                <w:p>
                  <w:pPr>
                    <w:jc w:val="center"/>
                    <w:rPr>
                      <w:rFonts w:ascii="方正小标宋简体" w:hAnsi="方正小标宋简体" w:eastAsia="方正小标宋简体" w:cs="方正小标宋简体"/>
                      <w:sz w:val="72"/>
                      <w:szCs w:val="72"/>
                    </w:rPr>
                  </w:pPr>
                  <w:r>
                    <w:rPr>
                      <w:rFonts w:hint="eastAsia" w:ascii="方正小标宋简体" w:hAnsi="方正小标宋简体" w:eastAsia="方正小标宋简体" w:cs="方正小标宋简体"/>
                      <w:sz w:val="72"/>
                      <w:szCs w:val="72"/>
                    </w:rPr>
                    <w:t>处置单位操作手册</w:t>
                  </w:r>
                </w:p>
                <w:p>
                  <w:pPr>
                    <w:pStyle w:val="38"/>
                    <w:jc w:val="center"/>
                    <w:rPr>
                      <w:sz w:val="28"/>
                      <w:szCs w:val="28"/>
                    </w:rPr>
                  </w:pPr>
                </w:p>
                <w:p>
                  <w:pPr>
                    <w:pStyle w:val="38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>
      <w:pPr>
        <w:pStyle w:val="23"/>
        <w:tabs>
          <w:tab w:val="left" w:pos="840"/>
          <w:tab w:val="right" w:leader="dot" w:pos="8296"/>
        </w:tabs>
        <w:jc w:val="center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目  录</w:t>
      </w:r>
    </w:p>
    <w:p>
      <w:pPr>
        <w:pStyle w:val="23"/>
        <w:tabs>
          <w:tab w:val="right" w:leader="dot" w:pos="8306"/>
        </w:tabs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fldChar w:fldCharType="begin"/>
      </w:r>
      <w:r>
        <w:instrText xml:space="preserve">HYPERLINK  \l "_Toc18226" </w:instrText>
      </w:r>
      <w:r>
        <w:fldChar w:fldCharType="separate"/>
      </w:r>
      <w:r>
        <w:rPr>
          <w:rFonts w:hint="eastAsia"/>
        </w:rPr>
        <w:t>一、 国有资产处置信息公开系统流程图</w:t>
      </w:r>
      <w:r>
        <w:tab/>
      </w:r>
      <w:r>
        <w:fldChar w:fldCharType="begin"/>
      </w:r>
      <w:r>
        <w:instrText xml:space="preserve"> PAGEREF _Toc18226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8306"/>
        </w:tabs>
      </w:pPr>
      <w:r>
        <w:fldChar w:fldCharType="begin"/>
      </w:r>
      <w:r>
        <w:instrText xml:space="preserve">HYPERLINK  \l "_Toc19300" </w:instrText>
      </w:r>
      <w:r>
        <w:fldChar w:fldCharType="separate"/>
      </w:r>
      <w:r>
        <w:rPr>
          <w:rFonts w:hint="eastAsia"/>
        </w:rPr>
        <w:t>二、 登录方式</w:t>
      </w:r>
      <w:r>
        <w:tab/>
      </w:r>
      <w:r>
        <w:fldChar w:fldCharType="begin"/>
      </w:r>
      <w:r>
        <w:instrText xml:space="preserve"> PAGEREF _Toc19300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"_Toc23482" </w:instrText>
      </w:r>
      <w:r>
        <w:fldChar w:fldCharType="separate"/>
      </w:r>
      <w:r>
        <w:rPr>
          <w:rFonts w:hint="eastAsia"/>
        </w:rPr>
        <w:t>2.1. 登录入口</w:t>
      </w:r>
      <w:r>
        <w:tab/>
      </w:r>
      <w:r>
        <w:fldChar w:fldCharType="begin"/>
      </w:r>
      <w:r>
        <w:instrText xml:space="preserve"> PAGEREF _Toc23482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"_Toc30436" </w:instrText>
      </w:r>
      <w:r>
        <w:fldChar w:fldCharType="separate"/>
      </w:r>
      <w:r>
        <w:rPr>
          <w:rFonts w:hint="eastAsia"/>
        </w:rPr>
        <w:t xml:space="preserve">2.2. </w:t>
      </w:r>
      <w:r>
        <w:rPr>
          <w:rFonts w:hint="eastAsia" w:cs="Times New Roman"/>
          <w:kern w:val="0"/>
          <w:szCs w:val="28"/>
        </w:rPr>
        <w:t>账号密码登录</w:t>
      </w:r>
      <w:r>
        <w:tab/>
      </w:r>
      <w:r>
        <w:fldChar w:fldCharType="begin"/>
      </w:r>
      <w:r>
        <w:instrText xml:space="preserve"> PAGEREF _Toc30436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"_Toc6163" </w:instrText>
      </w:r>
      <w:r>
        <w:fldChar w:fldCharType="separate"/>
      </w:r>
      <w:r>
        <w:rPr>
          <w:rFonts w:hint="eastAsia"/>
        </w:rPr>
        <w:t>2.3. 国有资产处置信息公开系统后台</w:t>
      </w:r>
      <w:r>
        <w:tab/>
      </w:r>
      <w:r>
        <w:fldChar w:fldCharType="begin"/>
      </w:r>
      <w:r>
        <w:instrText xml:space="preserve"> PAGEREF _Toc6163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8306"/>
        </w:tabs>
      </w:pPr>
      <w:r>
        <w:fldChar w:fldCharType="begin"/>
      </w:r>
      <w:r>
        <w:instrText xml:space="preserve">HYPERLINK  \l "_Toc5874" </w:instrText>
      </w:r>
      <w:r>
        <w:fldChar w:fldCharType="separate"/>
      </w:r>
      <w:r>
        <w:rPr>
          <w:rFonts w:hint="eastAsia"/>
        </w:rPr>
        <w:t>三、 后台功能</w:t>
      </w:r>
      <w:r>
        <w:tab/>
      </w:r>
      <w:r>
        <w:fldChar w:fldCharType="begin"/>
      </w:r>
      <w:r>
        <w:instrText xml:space="preserve"> PAGEREF _Toc5874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"_Toc959" </w:instrText>
      </w:r>
      <w:r>
        <w:fldChar w:fldCharType="separate"/>
      </w:r>
      <w:r>
        <w:rPr>
          <w:rFonts w:hint="eastAsia"/>
        </w:rPr>
        <w:t>3.1. 进场交易的操作步骤</w:t>
      </w:r>
      <w:r>
        <w:tab/>
      </w:r>
      <w:r>
        <w:fldChar w:fldCharType="begin"/>
      </w:r>
      <w:r>
        <w:instrText xml:space="preserve"> PAGEREF _Toc959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"_Toc3850" </w:instrText>
      </w:r>
      <w:r>
        <w:fldChar w:fldCharType="separate"/>
      </w:r>
      <w:r>
        <w:rPr>
          <w:rFonts w:hint="eastAsia"/>
          <w:i w:val="0"/>
          <w:iCs w:val="0"/>
        </w:rPr>
        <w:t>3.1.1. 新增项目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_Toc3850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"_Toc3657" </w:instrText>
      </w:r>
      <w:r>
        <w:fldChar w:fldCharType="separate"/>
      </w:r>
      <w:r>
        <w:rPr>
          <w:rFonts w:hint="eastAsia"/>
          <w:i w:val="0"/>
          <w:iCs w:val="0"/>
        </w:rPr>
        <w:t>3.1.2. 编辑和删除项目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_Toc3657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"_Toc10906" </w:instrText>
      </w:r>
      <w:r>
        <w:fldChar w:fldCharType="separate"/>
      </w:r>
      <w:r>
        <w:rPr>
          <w:rFonts w:hint="eastAsia"/>
          <w:i w:val="0"/>
          <w:iCs w:val="0"/>
        </w:rPr>
        <w:t>3.1.3. 查看和撤回项目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_Toc10906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5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"_Toc20268" </w:instrText>
      </w:r>
      <w:r>
        <w:fldChar w:fldCharType="separate"/>
      </w:r>
      <w:r>
        <w:rPr>
          <w:rFonts w:hint="eastAsia"/>
          <w:i w:val="0"/>
          <w:iCs w:val="0"/>
        </w:rPr>
        <w:t>3.1.4. 审核</w:t>
      </w:r>
      <w:r>
        <w:rPr>
          <w:rFonts w:hint="eastAsia"/>
          <w:i w:val="0"/>
          <w:iCs w:val="0"/>
          <w:lang w:eastAsia="zh-CN"/>
        </w:rPr>
        <w:t>资产处置事项公告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_Toc20268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6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HYPERLINK  \l "_Toc24022" </w:instrText>
      </w:r>
      <w:r>
        <w:fldChar w:fldCharType="separate"/>
      </w:r>
      <w:r>
        <w:rPr>
          <w:rFonts w:hint="eastAsia"/>
          <w:i w:val="0"/>
          <w:iCs w:val="0"/>
        </w:rPr>
        <w:t>3.1.5. 查看</w:t>
      </w:r>
      <w:r>
        <w:rPr>
          <w:rFonts w:hint="eastAsia"/>
          <w:i w:val="0"/>
          <w:iCs w:val="0"/>
          <w:lang w:eastAsia="zh-CN"/>
        </w:rPr>
        <w:t>资产处置事项公告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_Toc24022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7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"_Toc16872" </w:instrText>
      </w:r>
      <w:r>
        <w:fldChar w:fldCharType="separate"/>
      </w:r>
      <w:r>
        <w:rPr>
          <w:rFonts w:hint="eastAsia"/>
        </w:rPr>
        <w:t>3.2. 环保回收的操作步骤</w:t>
      </w:r>
      <w:r>
        <w:tab/>
      </w:r>
      <w:r>
        <w:fldChar w:fldCharType="begin"/>
      </w:r>
      <w:r>
        <w:instrText xml:space="preserve"> PAGEREF _Toc16872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"_Toc5616" </w:instrText>
      </w:r>
      <w:r>
        <w:fldChar w:fldCharType="separate"/>
      </w:r>
      <w:r>
        <w:rPr>
          <w:rFonts w:hint="eastAsia"/>
          <w:i w:val="0"/>
          <w:iCs w:val="0"/>
        </w:rPr>
        <w:t>3.2.1. 新增项目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_Toc5616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8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"_Toc18387" </w:instrText>
      </w:r>
      <w:r>
        <w:fldChar w:fldCharType="separate"/>
      </w:r>
      <w:r>
        <w:rPr>
          <w:rFonts w:hint="eastAsia"/>
          <w:i w:val="0"/>
          <w:iCs w:val="0"/>
        </w:rPr>
        <w:t>3.2.2. 编辑和删除项目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_Toc18387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9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"_Toc23590" </w:instrText>
      </w:r>
      <w:r>
        <w:fldChar w:fldCharType="separate"/>
      </w:r>
      <w:r>
        <w:rPr>
          <w:rFonts w:hint="eastAsia"/>
          <w:i w:val="0"/>
          <w:iCs w:val="0"/>
        </w:rPr>
        <w:t>3.2.3. 查看和撤回项目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_Toc23590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9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"_Toc17771" </w:instrText>
      </w:r>
      <w:r>
        <w:fldChar w:fldCharType="separate"/>
      </w:r>
      <w:r>
        <w:rPr>
          <w:rFonts w:hint="eastAsia"/>
          <w:i w:val="0"/>
          <w:iCs w:val="0"/>
        </w:rPr>
        <w:t>3.2.4. 审核</w:t>
      </w:r>
      <w:r>
        <w:rPr>
          <w:rFonts w:hint="eastAsia"/>
          <w:i w:val="0"/>
          <w:iCs w:val="0"/>
          <w:lang w:eastAsia="zh-CN"/>
        </w:rPr>
        <w:t>资产处置事项公告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_Toc17771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9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HYPERLINK  \l "_Toc27216" </w:instrText>
      </w:r>
      <w:r>
        <w:fldChar w:fldCharType="separate"/>
      </w:r>
      <w:r>
        <w:rPr>
          <w:rFonts w:hint="eastAsia"/>
          <w:i w:val="0"/>
          <w:iCs w:val="0"/>
        </w:rPr>
        <w:t>3.2.5. 查看</w:t>
      </w:r>
      <w:r>
        <w:rPr>
          <w:rFonts w:hint="eastAsia"/>
          <w:i w:val="0"/>
          <w:iCs w:val="0"/>
          <w:lang w:eastAsia="zh-CN"/>
        </w:rPr>
        <w:t>资产处置事项公告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_Toc27216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11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"_Toc7984" </w:instrText>
      </w:r>
      <w:r>
        <w:fldChar w:fldCharType="separate"/>
      </w:r>
      <w:r>
        <w:rPr>
          <w:rFonts w:hint="eastAsia"/>
        </w:rPr>
        <w:t>3.3. 选择其他机构的操作步骤（特殊情况）</w:t>
      </w:r>
      <w:r>
        <w:tab/>
      </w:r>
      <w:r>
        <w:fldChar w:fldCharType="begin"/>
      </w:r>
      <w:r>
        <w:instrText xml:space="preserve"> PAGEREF _Toc7984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"_Toc1237" </w:instrText>
      </w:r>
      <w:r>
        <w:fldChar w:fldCharType="separate"/>
      </w:r>
      <w:r>
        <w:rPr>
          <w:rFonts w:hint="eastAsia"/>
          <w:i w:val="0"/>
          <w:iCs w:val="0"/>
        </w:rPr>
        <w:t>3.3.1. 新增项目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_Toc1237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12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HYPERLINK  \l "_Toc14924" </w:instrText>
      </w:r>
      <w:r>
        <w:fldChar w:fldCharType="separate"/>
      </w:r>
      <w:r>
        <w:rPr>
          <w:rFonts w:hint="eastAsia"/>
          <w:i w:val="0"/>
          <w:iCs w:val="0"/>
        </w:rPr>
        <w:t>3.3.2. 查看</w:t>
      </w:r>
      <w:r>
        <w:rPr>
          <w:rFonts w:hint="eastAsia"/>
          <w:i w:val="0"/>
          <w:iCs w:val="0"/>
          <w:lang w:eastAsia="zh-CN"/>
        </w:rPr>
        <w:t>资产处置事项公告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_Toc14924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13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"_Toc19747" </w:instrText>
      </w:r>
      <w:r>
        <w:fldChar w:fldCharType="separate"/>
      </w:r>
      <w:r>
        <w:rPr>
          <w:rFonts w:hint="eastAsia"/>
        </w:rPr>
        <w:t>3.4. 用户信息修改</w:t>
      </w:r>
      <w:r>
        <w:tab/>
      </w:r>
      <w:r>
        <w:fldChar w:fldCharType="begin"/>
      </w:r>
      <w:r>
        <w:instrText xml:space="preserve"> PAGEREF _Toc19747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  <w:rPr>
          <w:i w:val="0"/>
          <w:iCs w:val="0"/>
        </w:rPr>
      </w:pPr>
      <w:r>
        <w:fldChar w:fldCharType="begin"/>
      </w:r>
      <w:r>
        <w:instrText xml:space="preserve">HYPERLINK  \l "_Toc1948" </w:instrText>
      </w:r>
      <w:r>
        <w:fldChar w:fldCharType="separate"/>
      </w:r>
      <w:r>
        <w:rPr>
          <w:rFonts w:hint="eastAsia"/>
          <w:i w:val="0"/>
          <w:iCs w:val="0"/>
        </w:rPr>
        <w:t>3.4.1. 修改密码、手机号等信息</w:t>
      </w:r>
      <w:r>
        <w:rPr>
          <w:i w:val="0"/>
          <w:iCs w:val="0"/>
        </w:rPr>
        <w:tab/>
      </w: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PAGEREF _Toc1948 \h </w:instrText>
      </w:r>
      <w:r>
        <w:rPr>
          <w:i w:val="0"/>
          <w:iCs w:val="0"/>
        </w:rPr>
        <w:fldChar w:fldCharType="separate"/>
      </w:r>
      <w:r>
        <w:rPr>
          <w:i w:val="0"/>
          <w:iCs w:val="0"/>
        </w:rPr>
        <w:t>13</w:t>
      </w:r>
      <w:r>
        <w:rPr>
          <w:i w:val="0"/>
          <w:iCs w:val="0"/>
        </w:rPr>
        <w:fldChar w:fldCharType="end"/>
      </w:r>
      <w:r>
        <w:fldChar w:fldCharType="end"/>
      </w:r>
    </w:p>
    <w:p>
      <w:pPr>
        <w:pStyle w:val="23"/>
        <w:tabs>
          <w:tab w:val="right" w:leader="dot" w:pos="8306"/>
        </w:tabs>
      </w:pPr>
      <w:r>
        <w:fldChar w:fldCharType="begin"/>
      </w:r>
      <w:r>
        <w:instrText xml:space="preserve">HYPERLINK  \l "_Toc6439" </w:instrText>
      </w:r>
      <w:r>
        <w:fldChar w:fldCharType="separate"/>
      </w:r>
      <w:r>
        <w:rPr>
          <w:rFonts w:hint="eastAsia"/>
        </w:rPr>
        <w:t>四、 注意事项</w:t>
      </w:r>
      <w:r>
        <w:tab/>
      </w:r>
      <w:r>
        <w:fldChar w:fldCharType="begin"/>
      </w:r>
      <w:r>
        <w:instrText xml:space="preserve"> PAGEREF _Toc6439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"_Toc5074" </w:instrText>
      </w:r>
      <w:r>
        <w:fldChar w:fldCharType="separate"/>
      </w:r>
      <w:r>
        <w:rPr>
          <w:rFonts w:hint="eastAsia"/>
        </w:rPr>
        <w:t>4.1. 首次使用</w:t>
      </w:r>
      <w:r>
        <w:tab/>
      </w:r>
      <w:r>
        <w:fldChar w:fldCharType="begin"/>
      </w:r>
      <w:r>
        <w:instrText xml:space="preserve"> PAGEREF _Toc5074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"_Toc32605" </w:instrText>
      </w:r>
      <w:r>
        <w:fldChar w:fldCharType="separate"/>
      </w:r>
      <w:r>
        <w:rPr>
          <w:rFonts w:hint="eastAsia"/>
        </w:rPr>
        <w:t>4.2. 联系方式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PAGEREF _Toc32605 \h </w:instrText>
      </w:r>
      <w:r>
        <w:rPr>
          <w:rFonts w:hint="eastAsia"/>
        </w:rPr>
        <w:fldChar w:fldCharType="separate"/>
      </w:r>
      <w:r>
        <w:rPr>
          <w:rFonts w:hint="eastAsia"/>
        </w:rPr>
        <w:t>15</w:t>
      </w:r>
      <w:r>
        <w:rPr>
          <w:rFonts w:hint="eastAsia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"_Toc11716" </w:instrText>
      </w:r>
      <w:r>
        <w:fldChar w:fldCharType="separate"/>
      </w:r>
      <w:r>
        <w:rPr>
          <w:rFonts w:hint="eastAsia"/>
        </w:rPr>
        <w:t>4.3. 审核</w:t>
      </w:r>
      <w:r>
        <w:rPr>
          <w:rFonts w:hint="eastAsia"/>
          <w:lang w:eastAsia="zh-CN"/>
        </w:rPr>
        <w:t>资产处置事项公告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PAGEREF _Toc11716 \h </w:instrText>
      </w:r>
      <w:r>
        <w:rPr>
          <w:rFonts w:hint="eastAsia"/>
        </w:rPr>
        <w:fldChar w:fldCharType="separate"/>
      </w:r>
      <w:r>
        <w:rPr>
          <w:rFonts w:hint="eastAsia"/>
        </w:rPr>
        <w:t>15</w:t>
      </w:r>
      <w:r>
        <w:rPr>
          <w:rFonts w:hint="eastAsia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"_Toc1127" </w:instrText>
      </w:r>
      <w:r>
        <w:fldChar w:fldCharType="separate"/>
      </w:r>
      <w:r>
        <w:rPr>
          <w:rFonts w:hint="eastAsia"/>
        </w:rPr>
        <w:t>4.4. 上传资产清单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PAGEREF _Toc1127 \h </w:instrText>
      </w:r>
      <w:r>
        <w:rPr>
          <w:rFonts w:hint="eastAsia"/>
        </w:rPr>
        <w:fldChar w:fldCharType="separate"/>
      </w:r>
      <w:r>
        <w:rPr>
          <w:rFonts w:hint="eastAsia"/>
        </w:rPr>
        <w:t>15</w:t>
      </w:r>
      <w:r>
        <w:rPr>
          <w:rFonts w:hint="eastAsia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"_Toc31787" </w:instrText>
      </w:r>
      <w:r>
        <w:fldChar w:fldCharType="separate"/>
      </w:r>
      <w:r>
        <w:rPr>
          <w:rFonts w:hint="eastAsia"/>
        </w:rPr>
        <w:t>4.5. 账号登录问题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PAGEREF _Toc31787 \h </w:instrText>
      </w:r>
      <w:r>
        <w:rPr>
          <w:rFonts w:hint="eastAsia"/>
        </w:rPr>
        <w:fldChar w:fldCharType="separate"/>
      </w:r>
      <w:r>
        <w:rPr>
          <w:rFonts w:hint="eastAsia"/>
        </w:rPr>
        <w:t>15</w:t>
      </w:r>
      <w:r>
        <w:rPr>
          <w:rFonts w:hint="eastAsia"/>
        </w:rPr>
        <w:fldChar w:fldCharType="end"/>
      </w:r>
      <w:r>
        <w:fldChar w:fldCharType="end"/>
      </w:r>
    </w:p>
    <w:p>
      <w:pPr>
        <w:pStyle w:val="26"/>
        <w:tabs>
          <w:tab w:val="right" w:leader="dot" w:pos="8306"/>
        </w:tabs>
      </w:pPr>
      <w:r>
        <w:fldChar w:fldCharType="begin"/>
      </w:r>
      <w:r>
        <w:instrText xml:space="preserve">HYPERLINK  \l "_Toc32330" </w:instrText>
      </w:r>
      <w:r>
        <w:fldChar w:fldCharType="separate"/>
      </w:r>
      <w:r>
        <w:rPr>
          <w:rFonts w:hint="eastAsia"/>
        </w:rPr>
        <w:t>4.6. 特殊情况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PAGEREF _Toc32330 \h </w:instrText>
      </w:r>
      <w:r>
        <w:rPr>
          <w:rFonts w:hint="eastAsia"/>
        </w:rPr>
        <w:fldChar w:fldCharType="separate"/>
      </w:r>
      <w:r>
        <w:rPr>
          <w:rFonts w:hint="eastAsia"/>
        </w:rPr>
        <w:t>15</w:t>
      </w:r>
      <w:r>
        <w:rPr>
          <w:rFonts w:hint="eastAsia"/>
        </w:rPr>
        <w:fldChar w:fldCharType="end"/>
      </w:r>
      <w:r>
        <w:fldChar w:fldCharType="end"/>
      </w:r>
    </w:p>
    <w:p>
      <w:pPr>
        <w:pStyle w:val="23"/>
        <w:tabs>
          <w:tab w:val="right" w:leader="dot" w:pos="8306"/>
        </w:tabs>
      </w:pPr>
      <w:r>
        <w:fldChar w:fldCharType="begin"/>
      </w:r>
      <w:r>
        <w:instrText xml:space="preserve">HYPERLINK  \l "_Toc26202" </w:instrText>
      </w:r>
      <w:r>
        <w:fldChar w:fldCharType="separate"/>
      </w:r>
      <w:r>
        <w:rPr>
          <w:rFonts w:hint="eastAsia"/>
        </w:rPr>
        <w:t>五、 联系方式</w:t>
      </w:r>
      <w:r>
        <w:tab/>
      </w:r>
      <w:r>
        <w:fldChar w:fldCharType="begin"/>
      </w:r>
      <w:r>
        <w:instrText xml:space="preserve"> PAGEREF _Toc26202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spacing w:line="288" w:lineRule="auto"/>
        <w:rPr>
          <w:rFonts w:ascii="Times New Roman" w:hAnsi="Times New Roman" w:cs="Times New Roman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Times New Roman" w:hAnsi="Times New Roman" w:cs="Times New Roman"/>
        </w:rPr>
        <w:fldChar w:fldCharType="end"/>
      </w:r>
    </w:p>
    <w:p>
      <w:pPr>
        <w:pStyle w:val="2"/>
      </w:pPr>
      <w:bookmarkStart w:id="0" w:name="_Toc18226"/>
      <w:bookmarkStart w:id="1" w:name="_Toc23631"/>
      <w:bookmarkStart w:id="2" w:name="_Toc513655865"/>
      <w:bookmarkStart w:id="3" w:name="_Toc513656926"/>
      <w:r>
        <w:rPr>
          <w:rFonts w:ascii="Times New Roman" w:hAnsi="Times New Roman" w:eastAsia="黑体" w:cs="Times New Roman"/>
          <w:kern w:val="44"/>
          <w:sz w:val="32"/>
          <w:szCs w:val="32"/>
          <w:lang w:val="en-US" w:eastAsia="zh-CN" w:bidi="ar-SA"/>
        </w:rPr>
        <w:pict>
          <v:shape id="图片 38" o:spid="_x0000_s1030" o:spt="75" type="#_x0000_t75" style="position:absolute;left:0pt;margin-left:3.55pt;margin-top:48.5pt;height:357.5pt;width:414.95pt;mso-wrap-distance-left:9pt;mso-wrap-distance-right:9pt;z-index:-251656192;mso-width-relative:page;mso-height-relative:page;" fillcolor="#FFFFFF" filled="f" o:preferrelative="t" stroked="f" coordsize="21600,21600" wrapcoords="0 0 0 21479 21551 21479 21551 0 0 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tight"/>
          </v:shape>
        </w:pict>
      </w:r>
      <w:r>
        <w:rPr>
          <w:rFonts w:hint="eastAsia"/>
        </w:rPr>
        <w:t>国有资产处置信息公开系统流程图</w:t>
      </w:r>
      <w:bookmarkEnd w:id="0"/>
      <w:bookmarkEnd w:id="1"/>
    </w:p>
    <w:p>
      <w:pPr>
        <w:pStyle w:val="2"/>
      </w:pPr>
      <w:bookmarkStart w:id="4" w:name="_Toc19300"/>
      <w:r>
        <w:rPr>
          <w:rFonts w:hint="eastAsia"/>
        </w:rPr>
        <w:t>登录方式</w:t>
      </w:r>
      <w:bookmarkEnd w:id="4"/>
    </w:p>
    <w:p>
      <w:pPr>
        <w:pStyle w:val="4"/>
      </w:pPr>
      <w:bookmarkStart w:id="5" w:name="_Toc23482"/>
      <w:r>
        <w:rPr>
          <w:rFonts w:hint="eastAsia"/>
        </w:rPr>
        <w:t>登录入口</w:t>
      </w:r>
      <w:bookmarkEnd w:id="5"/>
    </w:p>
    <w:p>
      <w:pPr>
        <w:ind w:firstLine="420" w:firstLineChars="200"/>
      </w:pPr>
      <w:r>
        <w:rPr>
          <w:rFonts w:hint="eastAsia"/>
        </w:rPr>
        <w:t>央采网首页点击资产处置进入登录页面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图片 1" o:spid="_x0000_s1031" o:spt="75" type="#_x0000_t75" style="position:absolute;left:0pt;margin-left:0pt;margin-top:3.3pt;height:242.45pt;width:414.4pt;mso-wrap-distance-left:9pt;mso-wrap-distance-right:9pt;z-index:-251657216;mso-width-relative:page;mso-height-relative:page;" fillcolor="#FFFFFF" filled="f" o:preferrelative="t" stroked="f" coordsize="21600,21600" wrapcoords="0 0 0 21515 21501 21515 21501 0 0 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tight"/>
          </v:shape>
        </w:pict>
      </w:r>
    </w:p>
    <w:p>
      <w:pPr>
        <w:pStyle w:val="4"/>
      </w:pPr>
      <w:bookmarkStart w:id="6" w:name="_Toc30436"/>
      <w:r>
        <w:rPr>
          <w:rFonts w:hint="eastAsia"/>
        </w:rPr>
        <w:t>账号密码登录</w:t>
      </w:r>
      <w:bookmarkEnd w:id="6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首次登录需要完善手机等用户信息，并强制修改初始密码。</w:t>
      </w:r>
    </w:p>
    <w:p>
      <w:pPr>
        <w:rPr>
          <w:rFonts w:hint="eastAsia" w:eastAsia="宋体"/>
          <w:b w:val="0"/>
          <w:bCs w:val="0"/>
          <w:color w:val="FF0000"/>
          <w:highlight w:val="none"/>
          <w:lang w:eastAsia="zh-CN"/>
        </w:rPr>
      </w:pPr>
      <w:r>
        <w:rPr>
          <w:rFonts w:hint="eastAsia" w:ascii="Calibri" w:hAnsi="Calibri" w:eastAsia="宋体" w:cs="宋体"/>
          <w:b w:val="0"/>
          <w:bCs w:val="0"/>
          <w:color w:val="FF0000"/>
          <w:kern w:val="2"/>
          <w:sz w:val="21"/>
          <w:szCs w:val="21"/>
          <w:highlight w:val="none"/>
          <w:lang w:val="en-US" w:eastAsia="zh-CN" w:bidi="ar-SA"/>
        </w:rPr>
        <w:pict>
          <v:shape id="_x0000_i1025" o:spt="75" type="#_x0000_t75" style="height:203.4pt;width:415.1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5.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b w:val="0"/>
          <w:bCs w:val="0"/>
          <w:color w:val="FF0000"/>
          <w:highlight w:val="none"/>
        </w:rPr>
      </w:pPr>
    </w:p>
    <w:p>
      <w:pPr>
        <w:ind w:firstLine="480" w:firstLineChars="20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pStyle w:val="4"/>
      </w:pPr>
      <w:bookmarkStart w:id="7" w:name="_Toc6163"/>
      <w:r>
        <w:rPr>
          <w:rFonts w:hint="eastAsia"/>
        </w:rPr>
        <w:t>国有资产处置信息公开系统后台</w:t>
      </w:r>
      <w:bookmarkEnd w:id="7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该账号为国采中心为资产处置单位分配的账号，输入账号密码进入“国有资产处置信息公开系统”后台</w:t>
      </w:r>
      <w:bookmarkEnd w:id="2"/>
      <w:bookmarkEnd w:id="3"/>
      <w:r>
        <w:rPr>
          <w:rFonts w:hint="eastAsia"/>
        </w:rPr>
        <w:t>。首次登录需要完善手机等用户信息，并强制修改初始密码。手机号绑定成功后，登录也可使用手机号+验证码方式登录系统。</w:t>
      </w:r>
    </w:p>
    <w:p>
      <w:pPr>
        <w:ind w:firstLine="420" w:firstLineChars="200"/>
        <w:rPr>
          <w:rFonts w:hint="eastAsia"/>
        </w:rPr>
      </w:pP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3" o:spt="75" type="#_x0000_t75" style="height:71.9pt;width:415.2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4" o:spt="75" type="#_x0000_t75" style="height:135.95pt;width:414.7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>
      <w:pPr>
        <w:pStyle w:val="2"/>
      </w:pPr>
      <w:bookmarkStart w:id="8" w:name="_Toc5874"/>
      <w:r>
        <w:rPr>
          <w:rFonts w:hint="eastAsia"/>
        </w:rPr>
        <w:t>后台功能</w:t>
      </w:r>
      <w:bookmarkEnd w:id="8"/>
    </w:p>
    <w:p>
      <w:pPr>
        <w:pStyle w:val="4"/>
      </w:pPr>
      <w:bookmarkStart w:id="9" w:name="_Toc959"/>
      <w:r>
        <w:rPr>
          <w:rFonts w:hint="eastAsia"/>
        </w:rPr>
        <w:t>进场交易的操作步骤</w:t>
      </w:r>
      <w:bookmarkEnd w:id="9"/>
    </w:p>
    <w:p>
      <w:pPr>
        <w:pStyle w:val="5"/>
        <w:spacing w:before="156" w:after="156"/>
      </w:pPr>
      <w:bookmarkStart w:id="10" w:name="_Toc3850"/>
      <w:r>
        <w:rPr>
          <w:rFonts w:hint="eastAsia"/>
        </w:rPr>
        <w:t>新增项目</w:t>
      </w:r>
      <w:bookmarkEnd w:id="10"/>
    </w:p>
    <w:p>
      <w:pPr>
        <w:ind w:firstLine="420" w:firstLineChars="200"/>
      </w:pPr>
      <w:r>
        <w:rPr>
          <w:rFonts w:hint="eastAsia"/>
        </w:rPr>
        <w:t>点击“新增”可填写项目信息。</w:t>
      </w:r>
    </w:p>
    <w:p>
      <w:pPr>
        <w:ind w:firstLine="420" w:firstLineChars="200"/>
      </w:pPr>
      <w:r>
        <w:rPr>
          <w:rFonts w:hint="eastAsia"/>
        </w:rPr>
        <w:t>包括项目名称、处置机构名称、联系人姓名、电话、处置资产标的等信息提交即可。</w:t>
      </w: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</w:pPr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5" o:spt="75" type="#_x0000_t75" style="height:102.1pt;width:414.7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6" o:spt="75" type="#_x0000_t75" style="height:116.45pt;width:414.1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5"/>
        <w:spacing w:before="156" w:after="156"/>
        <w:rPr>
          <w:rFonts w:eastAsia="宋体"/>
        </w:rPr>
      </w:pPr>
      <w:bookmarkStart w:id="11" w:name="_Toc3657"/>
      <w:r>
        <w:rPr>
          <w:rFonts w:hint="eastAsia"/>
        </w:rPr>
        <w:t>编辑和删除项目</w:t>
      </w:r>
      <w:bookmarkEnd w:id="11"/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7" o:spt="75" type="#_x0000_t75" style="height:86.5pt;width:413.9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  <w:jc w:val="left"/>
      </w:pPr>
      <w:bookmarkStart w:id="12" w:name="_Toc10906"/>
      <w:r>
        <w:rPr>
          <w:rFonts w:hint="eastAsia"/>
        </w:rPr>
        <w:t>查看和撤回项目</w:t>
      </w:r>
      <w:bookmarkEnd w:id="12"/>
      <w:r>
        <w:rPr>
          <w:rFonts w:hint="eastAsia"/>
        </w:rPr>
        <w:t xml:space="preserve">  </w:t>
      </w:r>
    </w:p>
    <w:p>
      <w:pPr>
        <w:ind w:firstLine="420" w:firstLineChars="200"/>
      </w:pPr>
      <w:r>
        <w:rPr>
          <w:rFonts w:hint="eastAsia"/>
        </w:rPr>
        <w:t>点击“查看”可以查看填写的项目信息。</w:t>
      </w:r>
    </w:p>
    <w:p/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8" o:spt="75" type="#_x0000_t75" style="height:85.4pt;width:414.1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39" o:spt="75" type="#_x0000_t75" style="height:113.1pt;width:414.6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</w:pPr>
      <w:bookmarkStart w:id="13" w:name="_Toc20268"/>
      <w:r>
        <w:rPr>
          <w:rFonts w:hint="eastAsia"/>
        </w:rPr>
        <w:t>审核</w:t>
      </w:r>
      <w:bookmarkEnd w:id="13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  <w:lang w:eastAsia="zh-CN"/>
        </w:rPr>
        <w:t>处置服务机构审核材料，并现场核实资产情况后，录入处置事项信息。处置单位收到短信提醒后，</w:t>
      </w:r>
      <w:r>
        <w:rPr>
          <w:rFonts w:hint="eastAsia"/>
        </w:rPr>
        <w:t>点击“审核”可以审核或者退回公告，点击“审核通过”时可以预览公告并发送公告，点击“退回”时须填写退回原因，如图：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0" o:spt="75" type="#_x0000_t75" style="height:94.25pt;width:414.2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1" o:spt="75" type="#_x0000_t75" style="height:243.9pt;width:414.7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/>
    <w:p/>
    <w:p/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2" o:spt="75" type="#_x0000_t75" style="height:125.6pt;width:414.9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3" o:spt="75" type="#_x0000_t75" style="height:316.8pt;width:414.6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</w:pPr>
      <w:bookmarkStart w:id="14" w:name="_Toc24022"/>
      <w:r>
        <w:rPr>
          <w:rFonts w:hint="eastAsia"/>
        </w:rPr>
        <w:t>查看</w:t>
      </w:r>
      <w:bookmarkEnd w:id="14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</w:rPr>
        <w:t>审核通过后，可查看</w:t>
      </w:r>
      <w:r>
        <w:rPr>
          <w:rFonts w:hint="eastAsia"/>
          <w:lang w:eastAsia="zh-CN"/>
        </w:rPr>
        <w:t>资产处置事项公告</w:t>
      </w:r>
      <w:r>
        <w:rPr>
          <w:rFonts w:hint="eastAsia"/>
        </w:rPr>
        <w:t>，如图：</w:t>
      </w:r>
    </w:p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4" o:spt="75" type="#_x0000_t75" style="height:94.6pt;width:414.8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5" o:spt="75" type="#_x0000_t75" style="height:296.55pt;width:414.9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15" w:name="_Toc16872"/>
      <w:r>
        <w:rPr>
          <w:rFonts w:hint="eastAsia"/>
        </w:rPr>
        <w:t>环保回收的操作步骤</w:t>
      </w:r>
      <w:bookmarkEnd w:id="15"/>
    </w:p>
    <w:p>
      <w:pPr>
        <w:pStyle w:val="5"/>
        <w:spacing w:before="156" w:after="156"/>
      </w:pPr>
      <w:bookmarkStart w:id="16" w:name="_Toc5616"/>
      <w:r>
        <w:rPr>
          <w:rFonts w:hint="eastAsia"/>
        </w:rPr>
        <w:t>新增项目</w:t>
      </w:r>
      <w:bookmarkEnd w:id="16"/>
    </w:p>
    <w:p>
      <w:pPr>
        <w:ind w:firstLine="420" w:firstLineChars="200"/>
      </w:pPr>
      <w:r>
        <w:rPr>
          <w:rFonts w:hint="eastAsia"/>
        </w:rPr>
        <w:t>点击“新增”可填写项目信息。</w:t>
      </w:r>
    </w:p>
    <w:p>
      <w:pPr>
        <w:ind w:firstLine="420" w:firstLineChars="200"/>
      </w:pPr>
      <w:r>
        <w:rPr>
          <w:rFonts w:hint="eastAsia"/>
        </w:rPr>
        <w:t>包括项目名称、处置机构名称、联系人姓名、电话、处置资产标的等信息提交即可。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6" o:spt="75" type="#_x0000_t75" style="height:102.1pt;width:414.7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7" o:spt="75" type="#_x0000_t75" style="height:116.45pt;width:414.1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</w:pPr>
      <w:bookmarkStart w:id="17" w:name="_Toc18387"/>
      <w:r>
        <w:rPr>
          <w:rFonts w:hint="eastAsia"/>
        </w:rPr>
        <w:t>编辑和删除项目</w:t>
      </w:r>
      <w:bookmarkEnd w:id="17"/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8" o:spt="75" type="#_x0000_t75" style="height:86.5pt;width:413.9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  <w:jc w:val="left"/>
      </w:pPr>
      <w:bookmarkStart w:id="18" w:name="_Toc23590"/>
      <w:r>
        <w:rPr>
          <w:rFonts w:hint="eastAsia"/>
        </w:rPr>
        <w:t>查看和撤回项目</w:t>
      </w:r>
      <w:bookmarkEnd w:id="18"/>
      <w:r>
        <w:rPr>
          <w:rFonts w:hint="eastAsia"/>
        </w:rPr>
        <w:t xml:space="preserve">  </w:t>
      </w:r>
    </w:p>
    <w:p>
      <w:pPr>
        <w:ind w:firstLine="420" w:firstLineChars="200"/>
      </w:pPr>
      <w:r>
        <w:rPr>
          <w:rFonts w:hint="eastAsia"/>
        </w:rPr>
        <w:t>点击“查看”可以查看填写的项目信息，点击如图：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49" o:spt="75" type="#_x0000_t75" style="height:86.5pt;width:413.9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0" o:spt="75" type="#_x0000_t75" style="height:113.1pt;width:414.6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spacing w:before="156" w:after="156"/>
        <w:jc w:val="left"/>
      </w:pPr>
      <w:bookmarkStart w:id="19" w:name="_Toc17771"/>
      <w:r>
        <w:rPr>
          <w:rFonts w:hint="eastAsia"/>
        </w:rPr>
        <w:t>审核</w:t>
      </w:r>
      <w:bookmarkEnd w:id="19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  <w:lang w:eastAsia="zh-CN"/>
        </w:rPr>
        <w:t>处置服务机构审核材料，并现场核实资产情况后，录入处置事项信息。处置单位收到短信提醒后，</w:t>
      </w:r>
      <w:r>
        <w:rPr>
          <w:rFonts w:hint="eastAsia"/>
        </w:rPr>
        <w:t>点击“审核”可以审核或者退回公告，点击“审核通过”时可以预览公告并发送公告，点击“退回”时须填写退回原因，如图：</w:t>
      </w:r>
      <w:bookmarkStart w:id="34" w:name="_GoBack"/>
      <w:bookmarkEnd w:id="34"/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1" o:spt="75" type="#_x0000_t75" style="height:109.75pt;width:414.7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2" o:spt="75" type="#_x0000_t75" style="height:243.9pt;width:414.7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3" o:spt="75" type="#_x0000_t75" style="height:125.6pt;width:414.95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4" o:spt="75" type="#_x0000_t75" style="height:316.8pt;width:414.6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5"/>
        <w:spacing w:before="156" w:after="156"/>
        <w:jc w:val="left"/>
      </w:pPr>
      <w:bookmarkStart w:id="20" w:name="_Toc27216"/>
      <w:r>
        <w:rPr>
          <w:rFonts w:hint="eastAsia"/>
        </w:rPr>
        <w:t>查看</w:t>
      </w:r>
      <w:bookmarkEnd w:id="20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</w:rPr>
        <w:t>审核通过后，可查看</w:t>
      </w:r>
      <w:r>
        <w:rPr>
          <w:rFonts w:hint="eastAsia"/>
          <w:lang w:eastAsia="zh-CN"/>
        </w:rPr>
        <w:t>资产处置事项公告</w:t>
      </w:r>
      <w:r>
        <w:rPr>
          <w:rFonts w:hint="eastAsia"/>
        </w:rPr>
        <w:t>，如图：</w:t>
      </w:r>
    </w:p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5" o:spt="75" type="#_x0000_t75" style="height:85.9pt;width:415.2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6" o:spt="75" type="#_x0000_t75" style="height:296.55pt;width:414.9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1" w:name="_Toc7984"/>
      <w:r>
        <w:rPr>
          <w:rFonts w:hint="eastAsia"/>
        </w:rPr>
        <w:t>选择其他机构的操作步骤（特殊情况）</w:t>
      </w:r>
      <w:bookmarkEnd w:id="21"/>
    </w:p>
    <w:p>
      <w:pPr>
        <w:pStyle w:val="5"/>
        <w:spacing w:before="156" w:after="156"/>
      </w:pPr>
      <w:bookmarkStart w:id="22" w:name="_Toc1237"/>
      <w:r>
        <w:rPr>
          <w:rFonts w:hint="eastAsia"/>
        </w:rPr>
        <w:t>新增项目</w:t>
      </w:r>
      <w:bookmarkEnd w:id="22"/>
    </w:p>
    <w:p>
      <w:pPr>
        <w:ind w:firstLine="420" w:firstLineChars="200"/>
      </w:pPr>
      <w:r>
        <w:rPr>
          <w:rFonts w:hint="eastAsia"/>
        </w:rPr>
        <w:t>点击“新增”可填写项目信息。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包括项目名称、处置机构名称、联系人姓名、电话、处置资产标的、处置方式的选择、处置机构联系方式、处置机构网址等信息并上传资产处置明细表提交即可。处置机构选择为其他机构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处置单位需自行填写所有的项目信息。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7" o:spt="75" type="#_x0000_t75" style="height:102.1pt;width:414.7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8" o:spt="75" type="#_x0000_t75" style="height:191pt;width:414.85pt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5"/>
        <w:spacing w:before="156" w:after="156"/>
      </w:pPr>
      <w:bookmarkStart w:id="23" w:name="_Toc14924"/>
      <w:r>
        <w:rPr>
          <w:rFonts w:hint="eastAsia"/>
        </w:rPr>
        <w:t>查看</w:t>
      </w:r>
      <w:bookmarkEnd w:id="23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</w:rPr>
        <w:t>查看</w:t>
      </w:r>
      <w:r>
        <w:rPr>
          <w:rFonts w:hint="eastAsia"/>
          <w:lang w:eastAsia="zh-CN"/>
        </w:rPr>
        <w:t>资产处置事项公告</w:t>
      </w:r>
      <w:r>
        <w:rPr>
          <w:rFonts w:hint="eastAsia"/>
        </w:rPr>
        <w:t>。如图：</w:t>
      </w:r>
    </w:p>
    <w:p/>
    <w:p>
      <w: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59" o:spt="75" type="#_x0000_t75" style="height:296.55pt;width:414.9pt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24" w:name="_Toc19747"/>
      <w:r>
        <w:rPr>
          <w:rFonts w:hint="eastAsia"/>
        </w:rPr>
        <w:t>用户信息修改</w:t>
      </w:r>
      <w:bookmarkEnd w:id="24"/>
    </w:p>
    <w:p>
      <w:pPr>
        <w:pStyle w:val="5"/>
        <w:spacing w:before="156" w:after="156"/>
      </w:pPr>
      <w:bookmarkStart w:id="25" w:name="_Toc1948"/>
      <w:r>
        <w:rPr>
          <w:rFonts w:hint="eastAsia"/>
        </w:rPr>
        <w:t>修改密码、手机号等信息</w:t>
      </w:r>
      <w:bookmarkEnd w:id="25"/>
    </w:p>
    <w:p>
      <w:pPr>
        <w:ind w:firstLine="420" w:firstLineChars="200"/>
      </w:pPr>
      <w:r>
        <w:rPr>
          <w:rFonts w:hint="eastAsia"/>
        </w:rPr>
        <w:t>选择用户姓名点击下拉按钮，即可修改密码，手机号，账号等信息。</w:t>
      </w:r>
    </w:p>
    <w:p>
      <w:pPr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60" o:spt="75" type="#_x0000_t75" style="height:60.65pt;width:414.45pt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</w:pPr>
      <w:bookmarkStart w:id="26" w:name="_Toc6439"/>
      <w:r>
        <w:rPr>
          <w:rFonts w:hint="eastAsia"/>
        </w:rPr>
        <w:t>注意事项</w:t>
      </w:r>
      <w:bookmarkEnd w:id="26"/>
    </w:p>
    <w:p>
      <w:pPr>
        <w:pStyle w:val="4"/>
      </w:pPr>
      <w:bookmarkStart w:id="27" w:name="_Toc5074"/>
      <w:r>
        <w:rPr>
          <w:rFonts w:hint="eastAsia"/>
        </w:rPr>
        <w:t>首次使用</w:t>
      </w:r>
      <w:bookmarkEnd w:id="27"/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首次登录的用户需要完善手机号等用户信息，并修改初始密码。使用之前须绑定手机号。</w:t>
      </w:r>
    </w:p>
    <w:p>
      <w:pPr>
        <w:pStyle w:val="4"/>
      </w:pPr>
      <w:bookmarkStart w:id="28" w:name="_Toc32605"/>
      <w:r>
        <w:rPr>
          <w:rFonts w:hint="eastAsia"/>
        </w:rPr>
        <w:t>联系方式</w:t>
      </w:r>
      <w:bookmarkEnd w:id="28"/>
    </w:p>
    <w:p>
      <w:pPr>
        <w:ind w:firstLine="420" w:firstLineChars="200"/>
      </w:pPr>
      <w:r>
        <w:rPr>
          <w:rFonts w:hint="eastAsia"/>
        </w:rPr>
        <w:t>联系方式须填写手机号或区号-电话号码。</w:t>
      </w:r>
    </w:p>
    <w:p>
      <w:pPr>
        <w:pStyle w:val="4"/>
      </w:pPr>
      <w:bookmarkStart w:id="29" w:name="_Toc11716"/>
      <w:r>
        <w:rPr>
          <w:rFonts w:hint="eastAsia"/>
        </w:rPr>
        <w:t>审核</w:t>
      </w:r>
      <w:bookmarkEnd w:id="29"/>
      <w:r>
        <w:rPr>
          <w:rFonts w:hint="eastAsia"/>
          <w:lang w:eastAsia="zh-CN"/>
        </w:rPr>
        <w:t>资产处置事项公告</w:t>
      </w:r>
    </w:p>
    <w:p>
      <w:pPr>
        <w:ind w:firstLine="420" w:firstLineChars="200"/>
      </w:pPr>
      <w:r>
        <w:rPr>
          <w:rFonts w:hint="eastAsia"/>
        </w:rPr>
        <w:t>处置单位会接收有关公告审核的短信提醒，接到短信后，请及时审核</w:t>
      </w:r>
      <w:r>
        <w:rPr>
          <w:rFonts w:hint="eastAsia"/>
          <w:lang w:eastAsia="zh-CN"/>
        </w:rPr>
        <w:t>资产处置事项公告</w:t>
      </w:r>
      <w:r>
        <w:rPr>
          <w:rFonts w:hint="eastAsia"/>
        </w:rPr>
        <w:t>。</w:t>
      </w:r>
    </w:p>
    <w:p>
      <w:pPr>
        <w:pStyle w:val="4"/>
      </w:pPr>
      <w:bookmarkStart w:id="30" w:name="_Toc1127"/>
      <w:r>
        <w:rPr>
          <w:rFonts w:hint="eastAsia"/>
        </w:rPr>
        <w:t>上传资产清单</w:t>
      </w:r>
      <w:bookmarkEnd w:id="30"/>
    </w:p>
    <w:p>
      <w:pPr>
        <w:ind w:firstLine="420" w:firstLineChars="200"/>
      </w:pPr>
      <w:r>
        <w:rPr>
          <w:rFonts w:hint="eastAsia"/>
        </w:rPr>
        <w:t>资产明细模板文档导入时，请勿删除例文。</w:t>
      </w:r>
    </w:p>
    <w:p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61" o:spt="75" type="#_x0000_t75" style="height:57pt;width:415.1pt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ind w:firstLine="420" w:firstLineChars="200"/>
      </w:pPr>
      <w:r>
        <w:rPr>
          <w:rFonts w:hint="eastAsia"/>
        </w:rPr>
        <w:t>如需修改资产清单，请修改后再次上传即可。</w:t>
      </w:r>
    </w:p>
    <w:p>
      <w:pPr>
        <w:pStyle w:val="4"/>
      </w:pPr>
      <w:bookmarkStart w:id="31" w:name="_Toc31787"/>
      <w:r>
        <w:rPr>
          <w:rFonts w:hint="eastAsia"/>
        </w:rPr>
        <w:t>账号登录问题</w:t>
      </w:r>
      <w:bookmarkEnd w:id="31"/>
    </w:p>
    <w:p>
      <w:pPr>
        <w:ind w:firstLine="420" w:firstLineChars="200"/>
      </w:pPr>
      <w:r>
        <w:rPr>
          <w:rFonts w:hint="eastAsia"/>
        </w:rPr>
        <w:t>如遇到账号无法登录时，请确认账号是否正确，确认后如还未能正常登录，请发邮件到国采中心联系邮箱：zycg@zycg.gov.cn，技术人员会及时处理。</w:t>
      </w:r>
    </w:p>
    <w:p>
      <w:pPr>
        <w:pStyle w:val="4"/>
      </w:pPr>
      <w:bookmarkStart w:id="32" w:name="_Toc32330"/>
      <w:r>
        <w:rPr>
          <w:rFonts w:hint="eastAsia"/>
        </w:rPr>
        <w:t>特殊情况</w:t>
      </w:r>
      <w:bookmarkEnd w:id="32"/>
    </w:p>
    <w:p>
      <w:pPr>
        <w:ind w:firstLine="420" w:firstLineChars="200"/>
      </w:pPr>
      <w:r>
        <w:rPr>
          <w:rFonts w:hint="eastAsia"/>
        </w:rPr>
        <w:t>处置单位选择的处置机构不是系统里指定的8家处置机构，而是选择了处置机构为其他，即为特殊情况。如图：</w:t>
      </w:r>
    </w:p>
    <w:p>
      <w:pPr>
        <w:ind w:firstLine="420" w:firstLineChars="200"/>
      </w:pPr>
      <w:r>
        <w:rPr>
          <w:rFonts w:ascii="Calibri" w:hAnsi="Calibri" w:eastAsia="宋体" w:cs="宋体"/>
          <w:kern w:val="2"/>
          <w:sz w:val="21"/>
          <w:szCs w:val="21"/>
          <w:lang w:val="en-US" w:eastAsia="zh-CN" w:bidi="ar-SA"/>
        </w:rPr>
        <w:pict>
          <v:shape id="_x0000_i1062" o:spt="75" type="#_x0000_t75" style="height:114pt;width:414.9pt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</w:pPr>
      <w:r>
        <w:rPr>
          <w:rFonts w:hint="eastAsia"/>
        </w:rPr>
        <w:t>如处置单位选择的处置机构为其他，处置单位需自行填写所有的项目信息，信息填写无误自行发布结果公告即可。如处置单位选择处置方式为环保回收，则无结果公告。</w:t>
      </w:r>
    </w:p>
    <w:p>
      <w:pPr>
        <w:pStyle w:val="2"/>
      </w:pPr>
      <w:bookmarkStart w:id="33" w:name="_Toc26202"/>
      <w:r>
        <w:rPr>
          <w:rFonts w:hint="eastAsia"/>
        </w:rPr>
        <w:t>联系方式</w:t>
      </w:r>
      <w:bookmarkEnd w:id="33"/>
    </w:p>
    <w:p>
      <w:pPr>
        <w:ind w:firstLine="420" w:firstLineChars="200"/>
      </w:pPr>
      <w:r>
        <w:rPr>
          <w:rFonts w:hint="eastAsia"/>
        </w:rPr>
        <w:t xml:space="preserve">国采中心网站技术支持：010-55604401   010-55604402    </w:t>
      </w:r>
    </w:p>
    <w:p>
      <w:pPr>
        <w:ind w:firstLine="420" w:firstLineChars="200"/>
      </w:pPr>
      <w:r>
        <w:rPr>
          <w:rFonts w:hint="eastAsia"/>
        </w:rPr>
        <w:t>国采中心联系邮箱：zycg@zycg.gov.cn</w:t>
      </w:r>
    </w:p>
    <w:p>
      <w:pPr>
        <w:ind w:firstLine="420" w:firstLineChars="200"/>
      </w:pPr>
    </w:p>
    <w:p>
      <w:pPr>
        <w:pStyle w:val="3"/>
      </w:pPr>
    </w:p>
    <w:p>
      <w:pPr>
        <w:pStyle w:val="3"/>
      </w:pPr>
    </w:p>
    <w:sectPr>
      <w:head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MV Boli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w:rPr>
        <w:rFonts w:ascii="Times New Roman" w:hAnsi="Times New Roman" w:eastAsia="宋体" w:cs="Times New Roman"/>
        <w:kern w:val="2"/>
        <w:sz w:val="18"/>
        <w:szCs w:val="20"/>
        <w:lang w:val="en-US" w:eastAsia="zh-CN" w:bidi="ar-SA"/>
      </w:rPr>
      <w:pict>
        <v:rect id="文本框 14" o:spid="_x0000_s2049" o:spt="1" style="position:absolute;left:0pt;margin-top:0pt;height:144pt;width:144pt;mso-position-horizontal:center;mso-position-horizontal-relative:margin;mso-wrap-style:none;z-index:251658240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pStyle w:val="21"/>
                  <w:rPr>
                    <w:rFonts w:eastAsia="宋体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top w:val="none" w:color="auto" w:sz="0" w:space="0"/>
        <w:left w:val="none" w:color="auto" w:sz="0" w:space="0"/>
        <w:bottom w:val="single" w:color="auto" w:sz="4" w:space="1"/>
        <w:right w:val="none" w:color="auto" w:sz="0" w:space="0"/>
      </w:pBdr>
      <w:jc w:val="center"/>
      <w:rPr>
        <w:rFonts w:ascii="宋体" w:hAnsi="宋体" w:eastAsia="宋体"/>
        <w:szCs w:val="18"/>
      </w:rPr>
    </w:pPr>
    <w:r>
      <w:rPr>
        <w:rFonts w:hint="eastAsia" w:ascii="宋体" w:hAnsi="宋体" w:eastAsia="宋体"/>
        <w:szCs w:val="18"/>
      </w:rPr>
      <w:t>中央行政事业单位国有资产处置信息公开系统</w:t>
    </w:r>
    <w:r>
      <w:rPr>
        <w:rFonts w:hint="eastAsia" w:ascii="宋体" w:hAnsi="宋体"/>
        <w:szCs w:val="18"/>
        <w:lang w:eastAsia="zh-CN"/>
      </w:rPr>
      <w:t>处置单位</w:t>
    </w:r>
    <w:r>
      <w:rPr>
        <w:rFonts w:hint="eastAsia" w:ascii="宋体" w:hAnsi="宋体" w:eastAsia="宋体"/>
        <w:szCs w:val="18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9032"/>
    <w:multiLevelType w:val="multilevel"/>
    <w:tmpl w:val="17DB9032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3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3.%2.%3."/>
      <w:lvlJc w:val="left"/>
      <w:pPr>
        <w:ind w:left="720" w:hanging="720"/>
      </w:pPr>
      <w:rPr>
        <w:rFonts w:hint="default"/>
        <w:b w:val="0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59701937"/>
    <w:multiLevelType w:val="multilevel"/>
    <w:tmpl w:val="59701937"/>
    <w:lvl w:ilvl="0" w:tentative="0">
      <w:start w:val="1"/>
      <w:numFmt w:val="decimal"/>
      <w:pStyle w:val="35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59701BB8"/>
    <w:multiLevelType w:val="multilevel"/>
    <w:tmpl w:val="59701BB8"/>
    <w:lvl w:ilvl="0" w:tentative="0">
      <w:start w:val="1"/>
      <w:numFmt w:val="decimal"/>
      <w:pStyle w:val="36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Restart w:val="0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Restart w:val="0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lvlRestart w:val="0"/>
      <w:lvlText w:val="%1.%2.%3.%4."/>
      <w:lvlJc w:val="left"/>
      <w:pPr>
        <w:ind w:left="851" w:hanging="851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7BE303E8"/>
    <w:multiLevelType w:val="multilevel"/>
    <w:tmpl w:val="7BE303E8"/>
    <w:lvl w:ilvl="0" w:tentative="0">
      <w:start w:val="1"/>
      <w:numFmt w:val="chineseCountingThousand"/>
      <w:pStyle w:val="2"/>
      <w:lvlText w:val="%1、"/>
      <w:lvlJc w:val="left"/>
      <w:pPr>
        <w:ind w:left="425" w:hanging="425"/>
      </w:pPr>
      <w:rPr>
        <w:rFonts w:hint="eastAsia"/>
        <w:b w:val="0"/>
      </w:rPr>
    </w:lvl>
    <w:lvl w:ilvl="1" w:tentative="0">
      <w:start w:val="1"/>
      <w:numFmt w:val="decimal"/>
      <w:pStyle w:val="4"/>
      <w:isLgl/>
      <w:lvlText w:val="%1.%2."/>
      <w:lvlJc w:val="left"/>
      <w:pPr>
        <w:ind w:left="567" w:hanging="567"/>
      </w:pPr>
      <w:rPr>
        <w:rFonts w:hint="eastAsia"/>
        <w:b w:val="0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1129" w:hanging="709"/>
      </w:pPr>
      <w:rPr>
        <w:rFonts w:hint="eastAsia"/>
        <w:b w:val="0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444FF"/>
    <w:rsid w:val="0004745A"/>
    <w:rsid w:val="00047492"/>
    <w:rsid w:val="00061575"/>
    <w:rsid w:val="0007501D"/>
    <w:rsid w:val="00076122"/>
    <w:rsid w:val="00076C6A"/>
    <w:rsid w:val="00080904"/>
    <w:rsid w:val="000A6278"/>
    <w:rsid w:val="000C7D88"/>
    <w:rsid w:val="000E79A7"/>
    <w:rsid w:val="0012092F"/>
    <w:rsid w:val="00154E8C"/>
    <w:rsid w:val="0016793A"/>
    <w:rsid w:val="00172A27"/>
    <w:rsid w:val="00211806"/>
    <w:rsid w:val="00244980"/>
    <w:rsid w:val="0027040C"/>
    <w:rsid w:val="002849BB"/>
    <w:rsid w:val="002A5BDC"/>
    <w:rsid w:val="002E11E6"/>
    <w:rsid w:val="00381D3F"/>
    <w:rsid w:val="003C22F7"/>
    <w:rsid w:val="003E693A"/>
    <w:rsid w:val="00411E8A"/>
    <w:rsid w:val="004665AB"/>
    <w:rsid w:val="00526028"/>
    <w:rsid w:val="005432C0"/>
    <w:rsid w:val="005A7D29"/>
    <w:rsid w:val="005F5195"/>
    <w:rsid w:val="00624813"/>
    <w:rsid w:val="006709C0"/>
    <w:rsid w:val="006C1166"/>
    <w:rsid w:val="006E2D4F"/>
    <w:rsid w:val="006F6F8B"/>
    <w:rsid w:val="00711C5A"/>
    <w:rsid w:val="007C4612"/>
    <w:rsid w:val="007D49E8"/>
    <w:rsid w:val="008015C5"/>
    <w:rsid w:val="00801DB2"/>
    <w:rsid w:val="0080226D"/>
    <w:rsid w:val="008406DE"/>
    <w:rsid w:val="00872E12"/>
    <w:rsid w:val="008819A3"/>
    <w:rsid w:val="00893C73"/>
    <w:rsid w:val="008E4A82"/>
    <w:rsid w:val="009749BC"/>
    <w:rsid w:val="009946DA"/>
    <w:rsid w:val="00A52A38"/>
    <w:rsid w:val="00A7651A"/>
    <w:rsid w:val="00AC1F45"/>
    <w:rsid w:val="00B22945"/>
    <w:rsid w:val="00B568BE"/>
    <w:rsid w:val="00B82D54"/>
    <w:rsid w:val="00B84BE1"/>
    <w:rsid w:val="00BC317E"/>
    <w:rsid w:val="00C207AF"/>
    <w:rsid w:val="00C23FED"/>
    <w:rsid w:val="00C372B3"/>
    <w:rsid w:val="00C51C25"/>
    <w:rsid w:val="00C80ABA"/>
    <w:rsid w:val="00C83092"/>
    <w:rsid w:val="00D20024"/>
    <w:rsid w:val="00D525AE"/>
    <w:rsid w:val="00D76706"/>
    <w:rsid w:val="00DA1164"/>
    <w:rsid w:val="00DA49E5"/>
    <w:rsid w:val="00DC5894"/>
    <w:rsid w:val="00DD2D33"/>
    <w:rsid w:val="00DD3D7A"/>
    <w:rsid w:val="00E12DC3"/>
    <w:rsid w:val="00E16069"/>
    <w:rsid w:val="00E20089"/>
    <w:rsid w:val="00E639ED"/>
    <w:rsid w:val="00E8240B"/>
    <w:rsid w:val="00E86661"/>
    <w:rsid w:val="00EE107B"/>
    <w:rsid w:val="00EE2CFF"/>
    <w:rsid w:val="00F01CE2"/>
    <w:rsid w:val="00F75A7C"/>
    <w:rsid w:val="00FC7595"/>
    <w:rsid w:val="00FD16B8"/>
    <w:rsid w:val="014478A0"/>
    <w:rsid w:val="019C5A77"/>
    <w:rsid w:val="028265CC"/>
    <w:rsid w:val="02906648"/>
    <w:rsid w:val="02BF1EAA"/>
    <w:rsid w:val="03630320"/>
    <w:rsid w:val="03EA2980"/>
    <w:rsid w:val="04112101"/>
    <w:rsid w:val="04161A44"/>
    <w:rsid w:val="04237228"/>
    <w:rsid w:val="043E6141"/>
    <w:rsid w:val="04863247"/>
    <w:rsid w:val="04C517E3"/>
    <w:rsid w:val="04E66377"/>
    <w:rsid w:val="053115F7"/>
    <w:rsid w:val="0589255F"/>
    <w:rsid w:val="059C727C"/>
    <w:rsid w:val="05CA0F42"/>
    <w:rsid w:val="05DC109B"/>
    <w:rsid w:val="05FA1A29"/>
    <w:rsid w:val="065A47AA"/>
    <w:rsid w:val="06B9110E"/>
    <w:rsid w:val="07337767"/>
    <w:rsid w:val="07533C21"/>
    <w:rsid w:val="07BF5348"/>
    <w:rsid w:val="085C684D"/>
    <w:rsid w:val="08AB7660"/>
    <w:rsid w:val="08DD0635"/>
    <w:rsid w:val="08F951B6"/>
    <w:rsid w:val="09317774"/>
    <w:rsid w:val="0944149D"/>
    <w:rsid w:val="09947B0B"/>
    <w:rsid w:val="0A5D18FF"/>
    <w:rsid w:val="0A62733D"/>
    <w:rsid w:val="0A8763A1"/>
    <w:rsid w:val="0AB84A52"/>
    <w:rsid w:val="0ACA21BF"/>
    <w:rsid w:val="0B250853"/>
    <w:rsid w:val="0B267A90"/>
    <w:rsid w:val="0BB43344"/>
    <w:rsid w:val="0BD43BDB"/>
    <w:rsid w:val="0BD50DDE"/>
    <w:rsid w:val="0BDB618D"/>
    <w:rsid w:val="0C257360"/>
    <w:rsid w:val="0C5025A5"/>
    <w:rsid w:val="0C6A36D3"/>
    <w:rsid w:val="0C84253E"/>
    <w:rsid w:val="0C897F69"/>
    <w:rsid w:val="0C8F080F"/>
    <w:rsid w:val="0C9B2CE7"/>
    <w:rsid w:val="0CFC7E2F"/>
    <w:rsid w:val="0D204C29"/>
    <w:rsid w:val="0D2410B0"/>
    <w:rsid w:val="0D41181D"/>
    <w:rsid w:val="0D760DF5"/>
    <w:rsid w:val="0DC736CC"/>
    <w:rsid w:val="0DDA1C0A"/>
    <w:rsid w:val="0E8C3087"/>
    <w:rsid w:val="0EE56866"/>
    <w:rsid w:val="0EF53218"/>
    <w:rsid w:val="0EFC0989"/>
    <w:rsid w:val="0F375CF2"/>
    <w:rsid w:val="0FA66950"/>
    <w:rsid w:val="0FDC284A"/>
    <w:rsid w:val="104E655A"/>
    <w:rsid w:val="108A756A"/>
    <w:rsid w:val="10A239EF"/>
    <w:rsid w:val="10B2285B"/>
    <w:rsid w:val="11225AD8"/>
    <w:rsid w:val="117F3D68"/>
    <w:rsid w:val="11A7464F"/>
    <w:rsid w:val="11D54C4B"/>
    <w:rsid w:val="129D4F29"/>
    <w:rsid w:val="12C86AF6"/>
    <w:rsid w:val="12CE7563"/>
    <w:rsid w:val="12D50320"/>
    <w:rsid w:val="133E5A26"/>
    <w:rsid w:val="137B4908"/>
    <w:rsid w:val="13BC5838"/>
    <w:rsid w:val="14327412"/>
    <w:rsid w:val="14507EF9"/>
    <w:rsid w:val="14A6708B"/>
    <w:rsid w:val="15005FAD"/>
    <w:rsid w:val="154D3042"/>
    <w:rsid w:val="155B5ED5"/>
    <w:rsid w:val="15D0395B"/>
    <w:rsid w:val="15DC6D37"/>
    <w:rsid w:val="16717AE4"/>
    <w:rsid w:val="16EC1181"/>
    <w:rsid w:val="170A1E6D"/>
    <w:rsid w:val="174F05AC"/>
    <w:rsid w:val="177F7350"/>
    <w:rsid w:val="178006D2"/>
    <w:rsid w:val="184D4DC8"/>
    <w:rsid w:val="18634602"/>
    <w:rsid w:val="1876311F"/>
    <w:rsid w:val="1890502F"/>
    <w:rsid w:val="18C3235A"/>
    <w:rsid w:val="18E831A2"/>
    <w:rsid w:val="19895A4E"/>
    <w:rsid w:val="198A7742"/>
    <w:rsid w:val="19B93841"/>
    <w:rsid w:val="19C02189"/>
    <w:rsid w:val="19CF3F0C"/>
    <w:rsid w:val="1A791966"/>
    <w:rsid w:val="1A9C2709"/>
    <w:rsid w:val="1AE53B27"/>
    <w:rsid w:val="1B147573"/>
    <w:rsid w:val="1BE90402"/>
    <w:rsid w:val="1C271051"/>
    <w:rsid w:val="1C732DF4"/>
    <w:rsid w:val="1C7954DA"/>
    <w:rsid w:val="1CD57B12"/>
    <w:rsid w:val="1CFE1E7D"/>
    <w:rsid w:val="1D033219"/>
    <w:rsid w:val="1D305FCB"/>
    <w:rsid w:val="1D395274"/>
    <w:rsid w:val="1DD17AA9"/>
    <w:rsid w:val="1DF9212A"/>
    <w:rsid w:val="1E570CCF"/>
    <w:rsid w:val="1F082197"/>
    <w:rsid w:val="1F225E06"/>
    <w:rsid w:val="1F3E5D15"/>
    <w:rsid w:val="1F4F0E1E"/>
    <w:rsid w:val="1FD8003F"/>
    <w:rsid w:val="1FE3002C"/>
    <w:rsid w:val="20083589"/>
    <w:rsid w:val="201770F4"/>
    <w:rsid w:val="20764148"/>
    <w:rsid w:val="208576B7"/>
    <w:rsid w:val="20D42AEC"/>
    <w:rsid w:val="20FB3CDE"/>
    <w:rsid w:val="21706878"/>
    <w:rsid w:val="21767B22"/>
    <w:rsid w:val="21F6238C"/>
    <w:rsid w:val="2209651E"/>
    <w:rsid w:val="2212512E"/>
    <w:rsid w:val="22152020"/>
    <w:rsid w:val="22407210"/>
    <w:rsid w:val="22B74846"/>
    <w:rsid w:val="22C4427F"/>
    <w:rsid w:val="22CB45EB"/>
    <w:rsid w:val="23BB21DA"/>
    <w:rsid w:val="23F44336"/>
    <w:rsid w:val="23F85B94"/>
    <w:rsid w:val="24540998"/>
    <w:rsid w:val="24975851"/>
    <w:rsid w:val="249E632D"/>
    <w:rsid w:val="24A3528B"/>
    <w:rsid w:val="24ED645D"/>
    <w:rsid w:val="25277CBA"/>
    <w:rsid w:val="255E07C1"/>
    <w:rsid w:val="25805EAD"/>
    <w:rsid w:val="263965A3"/>
    <w:rsid w:val="264F5280"/>
    <w:rsid w:val="26561495"/>
    <w:rsid w:val="26883DE1"/>
    <w:rsid w:val="26DC315E"/>
    <w:rsid w:val="26DF6F6B"/>
    <w:rsid w:val="27352182"/>
    <w:rsid w:val="274B3304"/>
    <w:rsid w:val="279125C3"/>
    <w:rsid w:val="285171F2"/>
    <w:rsid w:val="28576879"/>
    <w:rsid w:val="285A470C"/>
    <w:rsid w:val="28660E2A"/>
    <w:rsid w:val="289A7A0C"/>
    <w:rsid w:val="289F1D66"/>
    <w:rsid w:val="28A73283"/>
    <w:rsid w:val="290416B4"/>
    <w:rsid w:val="29336A6F"/>
    <w:rsid w:val="29DD5E48"/>
    <w:rsid w:val="2A040549"/>
    <w:rsid w:val="2A7B0B83"/>
    <w:rsid w:val="2C6628AC"/>
    <w:rsid w:val="2CD852E9"/>
    <w:rsid w:val="2D056FB3"/>
    <w:rsid w:val="2D2B2E4C"/>
    <w:rsid w:val="2D801EE6"/>
    <w:rsid w:val="2D9C20B5"/>
    <w:rsid w:val="2DAD548D"/>
    <w:rsid w:val="2E923A0E"/>
    <w:rsid w:val="2E950B6F"/>
    <w:rsid w:val="2E9A07A3"/>
    <w:rsid w:val="2EA72142"/>
    <w:rsid w:val="2F055723"/>
    <w:rsid w:val="2F1000CE"/>
    <w:rsid w:val="2FD0008D"/>
    <w:rsid w:val="30922714"/>
    <w:rsid w:val="30DB79FA"/>
    <w:rsid w:val="3102056F"/>
    <w:rsid w:val="310A72A6"/>
    <w:rsid w:val="313859F2"/>
    <w:rsid w:val="31FB4C18"/>
    <w:rsid w:val="325E4148"/>
    <w:rsid w:val="326E05CE"/>
    <w:rsid w:val="32757907"/>
    <w:rsid w:val="32D142E5"/>
    <w:rsid w:val="33304794"/>
    <w:rsid w:val="33AB108B"/>
    <w:rsid w:val="33D369FE"/>
    <w:rsid w:val="33DE39DF"/>
    <w:rsid w:val="33EB05A4"/>
    <w:rsid w:val="34455914"/>
    <w:rsid w:val="34795D0C"/>
    <w:rsid w:val="349572B3"/>
    <w:rsid w:val="34AB27B8"/>
    <w:rsid w:val="356923AE"/>
    <w:rsid w:val="357F25CC"/>
    <w:rsid w:val="35B02F1D"/>
    <w:rsid w:val="35B16526"/>
    <w:rsid w:val="35DE7A3A"/>
    <w:rsid w:val="360C4414"/>
    <w:rsid w:val="36243759"/>
    <w:rsid w:val="36357F1C"/>
    <w:rsid w:val="36AA6D57"/>
    <w:rsid w:val="36C67642"/>
    <w:rsid w:val="37DF42BA"/>
    <w:rsid w:val="384C560B"/>
    <w:rsid w:val="38527310"/>
    <w:rsid w:val="388B6912"/>
    <w:rsid w:val="389F4D74"/>
    <w:rsid w:val="38FB14E1"/>
    <w:rsid w:val="39425024"/>
    <w:rsid w:val="39A65624"/>
    <w:rsid w:val="3A920546"/>
    <w:rsid w:val="3B4029CD"/>
    <w:rsid w:val="3B691F3D"/>
    <w:rsid w:val="3B6F68C1"/>
    <w:rsid w:val="3B707116"/>
    <w:rsid w:val="3BB54CDA"/>
    <w:rsid w:val="3C007272"/>
    <w:rsid w:val="3C112965"/>
    <w:rsid w:val="3C11688E"/>
    <w:rsid w:val="3CA80835"/>
    <w:rsid w:val="3D265A83"/>
    <w:rsid w:val="3DE10F97"/>
    <w:rsid w:val="3E327E9B"/>
    <w:rsid w:val="3E62256D"/>
    <w:rsid w:val="3EAF4382"/>
    <w:rsid w:val="3ED80D71"/>
    <w:rsid w:val="3ED90BAC"/>
    <w:rsid w:val="3F7B0515"/>
    <w:rsid w:val="3F8B0D76"/>
    <w:rsid w:val="3FC153E9"/>
    <w:rsid w:val="40213C4E"/>
    <w:rsid w:val="403510EE"/>
    <w:rsid w:val="4117049F"/>
    <w:rsid w:val="411E5A8C"/>
    <w:rsid w:val="41413DCD"/>
    <w:rsid w:val="414B363B"/>
    <w:rsid w:val="415C72DD"/>
    <w:rsid w:val="417F7783"/>
    <w:rsid w:val="418354F4"/>
    <w:rsid w:val="41920875"/>
    <w:rsid w:val="41A265E0"/>
    <w:rsid w:val="41E346AB"/>
    <w:rsid w:val="42486DA8"/>
    <w:rsid w:val="425A336D"/>
    <w:rsid w:val="42D63D4D"/>
    <w:rsid w:val="432D72C9"/>
    <w:rsid w:val="438A7FB3"/>
    <w:rsid w:val="43BB58DB"/>
    <w:rsid w:val="43F302BB"/>
    <w:rsid w:val="44107B71"/>
    <w:rsid w:val="44184295"/>
    <w:rsid w:val="441B2C18"/>
    <w:rsid w:val="44AF7CBB"/>
    <w:rsid w:val="44C648C9"/>
    <w:rsid w:val="44D0271B"/>
    <w:rsid w:val="44D172AB"/>
    <w:rsid w:val="452F05C9"/>
    <w:rsid w:val="45363FFE"/>
    <w:rsid w:val="453A47CC"/>
    <w:rsid w:val="453A5BA3"/>
    <w:rsid w:val="45C95100"/>
    <w:rsid w:val="45E43D39"/>
    <w:rsid w:val="45FF5015"/>
    <w:rsid w:val="463C4F3E"/>
    <w:rsid w:val="464862BE"/>
    <w:rsid w:val="46D07047"/>
    <w:rsid w:val="47E07F93"/>
    <w:rsid w:val="47E81F40"/>
    <w:rsid w:val="497B3383"/>
    <w:rsid w:val="49B148C9"/>
    <w:rsid w:val="49C57A74"/>
    <w:rsid w:val="4A1A72B0"/>
    <w:rsid w:val="4AD034FC"/>
    <w:rsid w:val="4AE15F90"/>
    <w:rsid w:val="4B770BCF"/>
    <w:rsid w:val="4B995B21"/>
    <w:rsid w:val="4BBA4C3C"/>
    <w:rsid w:val="4BCB5CF4"/>
    <w:rsid w:val="4BD246BF"/>
    <w:rsid w:val="4BDB7638"/>
    <w:rsid w:val="4BFC23EF"/>
    <w:rsid w:val="4C1116F6"/>
    <w:rsid w:val="4C40181E"/>
    <w:rsid w:val="4C540EE1"/>
    <w:rsid w:val="4CBA5681"/>
    <w:rsid w:val="4CD6655F"/>
    <w:rsid w:val="4D544717"/>
    <w:rsid w:val="4DBB45B7"/>
    <w:rsid w:val="4DFE63A8"/>
    <w:rsid w:val="4E1E6372"/>
    <w:rsid w:val="4ECF04A1"/>
    <w:rsid w:val="4F0B6CE3"/>
    <w:rsid w:val="4F311BB0"/>
    <w:rsid w:val="4F452721"/>
    <w:rsid w:val="4F6D49D9"/>
    <w:rsid w:val="4F7116F0"/>
    <w:rsid w:val="4F9C3E71"/>
    <w:rsid w:val="4FAA7F8D"/>
    <w:rsid w:val="4FB66620"/>
    <w:rsid w:val="4FDC383C"/>
    <w:rsid w:val="4FEC3795"/>
    <w:rsid w:val="50123F02"/>
    <w:rsid w:val="50271B9B"/>
    <w:rsid w:val="50363BF8"/>
    <w:rsid w:val="50652B9E"/>
    <w:rsid w:val="509B42BA"/>
    <w:rsid w:val="50B41ECA"/>
    <w:rsid w:val="51144CE0"/>
    <w:rsid w:val="511B25B4"/>
    <w:rsid w:val="51252758"/>
    <w:rsid w:val="512A1621"/>
    <w:rsid w:val="514F57D3"/>
    <w:rsid w:val="51A41938"/>
    <w:rsid w:val="524905FE"/>
    <w:rsid w:val="5271068F"/>
    <w:rsid w:val="52F6729F"/>
    <w:rsid w:val="533C544B"/>
    <w:rsid w:val="53CC73DB"/>
    <w:rsid w:val="53F30077"/>
    <w:rsid w:val="540F017E"/>
    <w:rsid w:val="55145896"/>
    <w:rsid w:val="55652C05"/>
    <w:rsid w:val="557E696A"/>
    <w:rsid w:val="55C111C5"/>
    <w:rsid w:val="55CD4E53"/>
    <w:rsid w:val="55E119C5"/>
    <w:rsid w:val="56672FF1"/>
    <w:rsid w:val="56A66583"/>
    <w:rsid w:val="56BC23A7"/>
    <w:rsid w:val="56D34CD5"/>
    <w:rsid w:val="571A758D"/>
    <w:rsid w:val="57625B6B"/>
    <w:rsid w:val="577D4CB9"/>
    <w:rsid w:val="579125A1"/>
    <w:rsid w:val="57A31EDD"/>
    <w:rsid w:val="57AC6D6A"/>
    <w:rsid w:val="57DF17EC"/>
    <w:rsid w:val="57F84381"/>
    <w:rsid w:val="5818255F"/>
    <w:rsid w:val="589D2E39"/>
    <w:rsid w:val="58AF2B47"/>
    <w:rsid w:val="58B20E59"/>
    <w:rsid w:val="58D60825"/>
    <w:rsid w:val="592865BC"/>
    <w:rsid w:val="594677C7"/>
    <w:rsid w:val="595E733C"/>
    <w:rsid w:val="59802D19"/>
    <w:rsid w:val="59A32553"/>
    <w:rsid w:val="59C56B7E"/>
    <w:rsid w:val="5A14023D"/>
    <w:rsid w:val="5A5F503D"/>
    <w:rsid w:val="5ADB26AB"/>
    <w:rsid w:val="5B9A5716"/>
    <w:rsid w:val="5C7D2A91"/>
    <w:rsid w:val="5CE42652"/>
    <w:rsid w:val="5CF27C7C"/>
    <w:rsid w:val="5CFD2DA3"/>
    <w:rsid w:val="5D814E83"/>
    <w:rsid w:val="5E020CD3"/>
    <w:rsid w:val="5E122912"/>
    <w:rsid w:val="5E42798A"/>
    <w:rsid w:val="5E5C0E34"/>
    <w:rsid w:val="5EA03A80"/>
    <w:rsid w:val="5F3F26E6"/>
    <w:rsid w:val="5F6D68A1"/>
    <w:rsid w:val="5F730667"/>
    <w:rsid w:val="600454A1"/>
    <w:rsid w:val="60521C54"/>
    <w:rsid w:val="607C6D07"/>
    <w:rsid w:val="60B0024C"/>
    <w:rsid w:val="60BF178F"/>
    <w:rsid w:val="60DF5974"/>
    <w:rsid w:val="61076F4B"/>
    <w:rsid w:val="61AE3617"/>
    <w:rsid w:val="61CD7EA7"/>
    <w:rsid w:val="61DE2E00"/>
    <w:rsid w:val="61E336BE"/>
    <w:rsid w:val="620551F5"/>
    <w:rsid w:val="623D41CF"/>
    <w:rsid w:val="629B7F22"/>
    <w:rsid w:val="636D5FA4"/>
    <w:rsid w:val="64185556"/>
    <w:rsid w:val="644F57AA"/>
    <w:rsid w:val="646D19A0"/>
    <w:rsid w:val="64A174D9"/>
    <w:rsid w:val="64CB02A8"/>
    <w:rsid w:val="657358FF"/>
    <w:rsid w:val="659E3794"/>
    <w:rsid w:val="65C04BFC"/>
    <w:rsid w:val="65DE1659"/>
    <w:rsid w:val="66320EE6"/>
    <w:rsid w:val="665534E0"/>
    <w:rsid w:val="66D66C9C"/>
    <w:rsid w:val="66F04355"/>
    <w:rsid w:val="6727186E"/>
    <w:rsid w:val="676F1FFD"/>
    <w:rsid w:val="6783471B"/>
    <w:rsid w:val="67C47C95"/>
    <w:rsid w:val="680760BD"/>
    <w:rsid w:val="682F73BC"/>
    <w:rsid w:val="683A7DA7"/>
    <w:rsid w:val="684F0A0D"/>
    <w:rsid w:val="68794DE4"/>
    <w:rsid w:val="68C84C8E"/>
    <w:rsid w:val="691534D7"/>
    <w:rsid w:val="69C44E0C"/>
    <w:rsid w:val="69E353F6"/>
    <w:rsid w:val="6A0339E5"/>
    <w:rsid w:val="6A5F083B"/>
    <w:rsid w:val="6A9D1A9C"/>
    <w:rsid w:val="6B9074C5"/>
    <w:rsid w:val="6C220E50"/>
    <w:rsid w:val="6C642D34"/>
    <w:rsid w:val="6C8E0796"/>
    <w:rsid w:val="6CCB166B"/>
    <w:rsid w:val="6D2868C1"/>
    <w:rsid w:val="6D541432"/>
    <w:rsid w:val="6D6738B7"/>
    <w:rsid w:val="6DC65CD4"/>
    <w:rsid w:val="6DE35052"/>
    <w:rsid w:val="6E6211E6"/>
    <w:rsid w:val="6EAD1970"/>
    <w:rsid w:val="6EDF2889"/>
    <w:rsid w:val="6F2C3FFF"/>
    <w:rsid w:val="6F540EBA"/>
    <w:rsid w:val="6F6E6C1A"/>
    <w:rsid w:val="6FC5014F"/>
    <w:rsid w:val="6FD95DF2"/>
    <w:rsid w:val="706F5DD5"/>
    <w:rsid w:val="70F64A76"/>
    <w:rsid w:val="70FF5FCB"/>
    <w:rsid w:val="715226A5"/>
    <w:rsid w:val="71F519AC"/>
    <w:rsid w:val="723868D9"/>
    <w:rsid w:val="723F3E80"/>
    <w:rsid w:val="725F4A46"/>
    <w:rsid w:val="733C07E9"/>
    <w:rsid w:val="73D447A1"/>
    <w:rsid w:val="73E30F0B"/>
    <w:rsid w:val="73F27FB5"/>
    <w:rsid w:val="741C31A3"/>
    <w:rsid w:val="742B2C15"/>
    <w:rsid w:val="747D3C6F"/>
    <w:rsid w:val="74826DDE"/>
    <w:rsid w:val="74D87E6F"/>
    <w:rsid w:val="74F91848"/>
    <w:rsid w:val="752C507C"/>
    <w:rsid w:val="752E4601"/>
    <w:rsid w:val="75E839A5"/>
    <w:rsid w:val="769B6653"/>
    <w:rsid w:val="76F71798"/>
    <w:rsid w:val="771A0F1D"/>
    <w:rsid w:val="77425262"/>
    <w:rsid w:val="774A211E"/>
    <w:rsid w:val="77577324"/>
    <w:rsid w:val="777B3E91"/>
    <w:rsid w:val="778F038F"/>
    <w:rsid w:val="77CF2B2D"/>
    <w:rsid w:val="77D63E95"/>
    <w:rsid w:val="77E64C47"/>
    <w:rsid w:val="787C3AB9"/>
    <w:rsid w:val="788521B0"/>
    <w:rsid w:val="789B5389"/>
    <w:rsid w:val="789C0D2A"/>
    <w:rsid w:val="78A77D25"/>
    <w:rsid w:val="79403C88"/>
    <w:rsid w:val="799957F2"/>
    <w:rsid w:val="79CD7A78"/>
    <w:rsid w:val="79DB088E"/>
    <w:rsid w:val="79EE342D"/>
    <w:rsid w:val="7A2102D3"/>
    <w:rsid w:val="7A2C1754"/>
    <w:rsid w:val="7AE2489B"/>
    <w:rsid w:val="7AF743D4"/>
    <w:rsid w:val="7AFE5437"/>
    <w:rsid w:val="7B7113F4"/>
    <w:rsid w:val="7B73429C"/>
    <w:rsid w:val="7BC45F97"/>
    <w:rsid w:val="7C6B5DDF"/>
    <w:rsid w:val="7D5335D6"/>
    <w:rsid w:val="7E0242EC"/>
    <w:rsid w:val="7E185C72"/>
    <w:rsid w:val="7E534B59"/>
    <w:rsid w:val="7EA42EFE"/>
    <w:rsid w:val="7F24402F"/>
    <w:rsid w:val="7F415E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pageBreakBefore/>
      <w:numPr>
        <w:ilvl w:val="0"/>
        <w:numId w:val="1"/>
      </w:numPr>
      <w:tabs>
        <w:tab w:val="left" w:pos="432"/>
      </w:tabs>
      <w:spacing w:before="156" w:beforeLines="50" w:after="156" w:afterLines="50"/>
      <w:jc w:val="left"/>
      <w:outlineLvl w:val="0"/>
    </w:pPr>
    <w:rPr>
      <w:rFonts w:ascii="Times New Roman" w:hAnsi="Times New Roman" w:eastAsia="黑体" w:cs="Times New Roman"/>
      <w:kern w:val="44"/>
      <w:sz w:val="32"/>
      <w:szCs w:val="32"/>
    </w:rPr>
  </w:style>
  <w:style w:type="paragraph" w:styleId="4">
    <w:name w:val="heading 2"/>
    <w:basedOn w:val="1"/>
    <w:next w:val="1"/>
    <w:link w:val="44"/>
    <w:unhideWhenUsed/>
    <w:qFormat/>
    <w:uiPriority w:val="0"/>
    <w:pPr>
      <w:numPr>
        <w:ilvl w:val="1"/>
        <w:numId w:val="1"/>
      </w:numPr>
      <w:spacing w:before="156" w:beforeLines="50" w:after="156" w:afterLines="50"/>
      <w:jc w:val="left"/>
      <w:outlineLvl w:val="1"/>
    </w:pPr>
    <w:rPr>
      <w:rFonts w:ascii="Times New Roman" w:hAnsi="Times New Roman" w:eastAsia="黑体" w:cs="Times New Roman"/>
      <w:kern w:val="0"/>
      <w:sz w:val="28"/>
      <w:szCs w:val="28"/>
    </w:rPr>
  </w:style>
  <w:style w:type="paragraph" w:styleId="5">
    <w:name w:val="heading 3"/>
    <w:basedOn w:val="1"/>
    <w:next w:val="1"/>
    <w:link w:val="43"/>
    <w:unhideWhenUsed/>
    <w:qFormat/>
    <w:uiPriority w:val="0"/>
    <w:pPr>
      <w:keepNext/>
      <w:keepLines/>
      <w:numPr>
        <w:ilvl w:val="2"/>
        <w:numId w:val="1"/>
      </w:numPr>
      <w:tabs>
        <w:tab w:val="left" w:pos="1134"/>
      </w:tabs>
      <w:spacing w:before="50" w:beforeLines="50" w:after="50" w:afterLines="50"/>
      <w:outlineLvl w:val="2"/>
    </w:pPr>
    <w:rPr>
      <w:rFonts w:ascii="黑体" w:hAnsi="黑体" w:eastAsia="黑体"/>
      <w:bCs/>
    </w:rPr>
  </w:style>
  <w:style w:type="paragraph" w:styleId="6">
    <w:name w:val="heading 4"/>
    <w:basedOn w:val="1"/>
    <w:next w:val="1"/>
    <w:link w:val="41"/>
    <w:unhideWhenUsed/>
    <w:qFormat/>
    <w:uiPriority w:val="0"/>
    <w:pPr>
      <w:keepNext/>
      <w:keepLines/>
      <w:numPr>
        <w:ilvl w:val="3"/>
        <w:numId w:val="2"/>
      </w:numPr>
      <w:tabs>
        <w:tab w:val="left" w:pos="864"/>
      </w:tabs>
      <w:spacing w:line="360" w:lineRule="auto"/>
      <w:outlineLvl w:val="3"/>
    </w:pPr>
    <w:rPr>
      <w:rFonts w:ascii="宋体" w:hAnsi="宋体" w:eastAsia="楷体"/>
      <w:b/>
      <w:bCs/>
      <w:sz w:val="28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2"/>
      </w:numPr>
      <w:tabs>
        <w:tab w:val="left" w:pos="1008"/>
      </w:tabs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2"/>
      </w:numPr>
      <w:tabs>
        <w:tab w:val="left" w:pos="1152"/>
      </w:tabs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numPr>
        <w:ilvl w:val="6"/>
        <w:numId w:val="2"/>
      </w:numPr>
      <w:tabs>
        <w:tab w:val="left" w:pos="1296"/>
      </w:tabs>
      <w:spacing w:before="240" w:after="64" w:line="317" w:lineRule="auto"/>
      <w:outlineLvl w:val="6"/>
    </w:pPr>
    <w:rPr>
      <w:b/>
      <w:sz w:val="24"/>
    </w:rPr>
  </w:style>
  <w:style w:type="paragraph" w:styleId="10">
    <w:name w:val="heading 8"/>
    <w:basedOn w:val="1"/>
    <w:next w:val="1"/>
    <w:unhideWhenUsed/>
    <w:qFormat/>
    <w:uiPriority w:val="0"/>
    <w:pPr>
      <w:keepNext/>
      <w:keepLines/>
      <w:numPr>
        <w:ilvl w:val="7"/>
        <w:numId w:val="2"/>
      </w:numPr>
      <w:tabs>
        <w:tab w:val="left" w:pos="1440"/>
      </w:tabs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unhideWhenUsed/>
    <w:qFormat/>
    <w:uiPriority w:val="0"/>
    <w:pPr>
      <w:keepNext/>
      <w:keepLines/>
      <w:numPr>
        <w:ilvl w:val="8"/>
        <w:numId w:val="2"/>
      </w:numPr>
      <w:tabs>
        <w:tab w:val="left" w:pos="1584"/>
      </w:tabs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30">
    <w:name w:val="Default Paragraph Font"/>
    <w:unhideWhenUsed/>
    <w:qFormat/>
    <w:uiPriority w:val="1"/>
  </w:style>
  <w:style w:type="table" w:default="1" w:styleId="3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论文正文"/>
    <w:basedOn w:val="1"/>
    <w:qFormat/>
    <w:uiPriority w:val="0"/>
    <w:rPr>
      <w:szCs w:val="20"/>
    </w:rPr>
  </w:style>
  <w:style w:type="paragraph" w:styleId="12">
    <w:name w:val="annotation subject"/>
    <w:basedOn w:val="13"/>
    <w:next w:val="13"/>
    <w:link w:val="46"/>
    <w:qFormat/>
    <w:uiPriority w:val="0"/>
    <w:rPr>
      <w:b/>
      <w:bCs/>
    </w:rPr>
  </w:style>
  <w:style w:type="paragraph" w:styleId="13">
    <w:name w:val="annotation text"/>
    <w:basedOn w:val="1"/>
    <w:link w:val="45"/>
    <w:qFormat/>
    <w:uiPriority w:val="0"/>
    <w:pPr>
      <w:jc w:val="left"/>
    </w:pPr>
  </w:style>
  <w:style w:type="paragraph" w:styleId="14">
    <w:name w:val="toc 7"/>
    <w:basedOn w:val="1"/>
    <w:next w:val="1"/>
    <w:qFormat/>
    <w:uiPriority w:val="0"/>
    <w:pPr>
      <w:ind w:left="1260"/>
      <w:jc w:val="left"/>
    </w:pPr>
    <w:rPr>
      <w:sz w:val="18"/>
      <w:szCs w:val="18"/>
    </w:rPr>
  </w:style>
  <w:style w:type="paragraph" w:styleId="15">
    <w:name w:val="caption"/>
    <w:basedOn w:val="1"/>
    <w:next w:val="1"/>
    <w:unhideWhenUsed/>
    <w:qFormat/>
    <w:uiPriority w:val="0"/>
    <w:rPr>
      <w:rFonts w:ascii="Calibri Light" w:hAnsi="Calibri Light" w:eastAsia="黑体" w:cs="黑体"/>
      <w:sz w:val="20"/>
      <w:szCs w:val="20"/>
    </w:rPr>
  </w:style>
  <w:style w:type="paragraph" w:styleId="16">
    <w:name w:val="toa heading"/>
    <w:basedOn w:val="1"/>
    <w:next w:val="1"/>
    <w:qFormat/>
    <w:uiPriority w:val="0"/>
    <w:pPr>
      <w:spacing w:before="120"/>
    </w:pPr>
    <w:rPr>
      <w:rFonts w:ascii="Arial" w:hAnsi="Arial"/>
      <w:sz w:val="24"/>
    </w:rPr>
  </w:style>
  <w:style w:type="paragraph" w:styleId="17">
    <w:name w:val="toc 5"/>
    <w:basedOn w:val="1"/>
    <w:next w:val="1"/>
    <w:qFormat/>
    <w:uiPriority w:val="0"/>
    <w:pPr>
      <w:ind w:left="840"/>
      <w:jc w:val="left"/>
    </w:pPr>
    <w:rPr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9">
    <w:name w:val="toc 8"/>
    <w:basedOn w:val="1"/>
    <w:next w:val="1"/>
    <w:qFormat/>
    <w:uiPriority w:val="0"/>
    <w:pPr>
      <w:ind w:left="1470"/>
      <w:jc w:val="left"/>
    </w:pPr>
    <w:rPr>
      <w:sz w:val="18"/>
      <w:szCs w:val="18"/>
    </w:rPr>
  </w:style>
  <w:style w:type="paragraph" w:styleId="20">
    <w:name w:val="Balloon Text"/>
    <w:basedOn w:val="1"/>
    <w:link w:val="47"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sz w:val="18"/>
      <w:szCs w:val="20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18"/>
      <w:szCs w:val="20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0"/>
    <w:pPr>
      <w:ind w:left="630"/>
      <w:jc w:val="left"/>
    </w:pPr>
    <w:rPr>
      <w:sz w:val="18"/>
      <w:szCs w:val="18"/>
    </w:rPr>
  </w:style>
  <w:style w:type="paragraph" w:styleId="25">
    <w:name w:val="toc 6"/>
    <w:basedOn w:val="1"/>
    <w:next w:val="1"/>
    <w:qFormat/>
    <w:uiPriority w:val="0"/>
    <w:pPr>
      <w:ind w:left="1050"/>
      <w:jc w:val="left"/>
    </w:pPr>
    <w:rPr>
      <w:sz w:val="18"/>
      <w:szCs w:val="18"/>
    </w:rPr>
  </w:style>
  <w:style w:type="paragraph" w:styleId="26">
    <w:name w:val="toc 2"/>
    <w:basedOn w:val="1"/>
    <w:next w:val="16"/>
    <w:qFormat/>
    <w:uiPriority w:val="39"/>
    <w:pPr>
      <w:ind w:left="210"/>
      <w:jc w:val="left"/>
    </w:pPr>
    <w:rPr>
      <w:rFonts w:ascii="Arial" w:hAnsi="Arial"/>
      <w:smallCaps/>
      <w:sz w:val="20"/>
      <w:szCs w:val="20"/>
    </w:rPr>
  </w:style>
  <w:style w:type="paragraph" w:styleId="27">
    <w:name w:val="toc 9"/>
    <w:basedOn w:val="1"/>
    <w:next w:val="1"/>
    <w:qFormat/>
    <w:uiPriority w:val="0"/>
    <w:pPr>
      <w:ind w:left="1680"/>
      <w:jc w:val="left"/>
    </w:pPr>
    <w:rPr>
      <w:sz w:val="18"/>
      <w:szCs w:val="18"/>
    </w:rPr>
  </w:style>
  <w:style w:type="paragraph" w:styleId="28">
    <w:name w:val="HTML Preformatted"/>
    <w:basedOn w:val="1"/>
    <w:qFormat/>
    <w:uiPriority w:val="0"/>
    <w:pPr>
      <w:spacing w:before="100" w:beforeAutospacing="1" w:line="360" w:lineRule="auto"/>
    </w:pPr>
    <w:rPr>
      <w:rFonts w:ascii="Courier New" w:hAnsi="Courier New" w:cs="Courier New"/>
      <w:sz w:val="20"/>
    </w:rPr>
  </w:style>
  <w:style w:type="paragraph" w:styleId="2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31">
    <w:name w:val="Hyperlink"/>
    <w:basedOn w:val="30"/>
    <w:qFormat/>
    <w:uiPriority w:val="99"/>
    <w:rPr>
      <w:color w:val="0000FF"/>
      <w:u w:val="single"/>
    </w:rPr>
  </w:style>
  <w:style w:type="character" w:styleId="32">
    <w:name w:val="annotation reference"/>
    <w:basedOn w:val="30"/>
    <w:qFormat/>
    <w:uiPriority w:val="0"/>
    <w:rPr>
      <w:sz w:val="21"/>
      <w:szCs w:val="21"/>
    </w:rPr>
  </w:style>
  <w:style w:type="table" w:styleId="34">
    <w:name w:val="Table Grid"/>
    <w:basedOn w:val="33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35">
    <w:name w:val="标题4"/>
    <w:basedOn w:val="1"/>
    <w:qFormat/>
    <w:uiPriority w:val="0"/>
    <w:pPr>
      <w:numPr>
        <w:ilvl w:val="0"/>
        <w:numId w:val="3"/>
      </w:numPr>
      <w:spacing w:before="50" w:beforeLines="50" w:after="50" w:afterLines="50"/>
    </w:pPr>
    <w:rPr>
      <w:rFonts w:ascii="Times New Roman" w:hAnsi="Times New Roman"/>
      <w:b/>
    </w:rPr>
  </w:style>
  <w:style w:type="paragraph" w:customStyle="1" w:styleId="36">
    <w:name w:val="样式1"/>
    <w:basedOn w:val="1"/>
    <w:qFormat/>
    <w:uiPriority w:val="0"/>
    <w:pPr>
      <w:numPr>
        <w:ilvl w:val="0"/>
        <w:numId w:val="4"/>
      </w:numPr>
    </w:pPr>
  </w:style>
  <w:style w:type="paragraph" w:customStyle="1" w:styleId="37">
    <w:name w:val="List Paragraph"/>
    <w:basedOn w:val="1"/>
    <w:qFormat/>
    <w:uiPriority w:val="34"/>
    <w:pPr>
      <w:ind w:firstLine="420" w:firstLineChars="200"/>
    </w:pPr>
  </w:style>
  <w:style w:type="paragraph" w:customStyle="1" w:styleId="38">
    <w:name w:val="无间隔1"/>
    <w:link w:val="42"/>
    <w:qFormat/>
    <w:uiPriority w:val="0"/>
    <w:rPr>
      <w:rFonts w:ascii="Times New Roman" w:hAnsi="Times New Roman" w:eastAsia="宋体" w:cs="Times New Roman"/>
      <w:sz w:val="22"/>
      <w:lang w:val="en-US" w:eastAsia="zh-CN" w:bidi="ar-SA"/>
    </w:rPr>
  </w:style>
  <w:style w:type="paragraph" w:customStyle="1" w:styleId="39">
    <w:name w:val="TOC 标题1"/>
    <w:basedOn w:val="2"/>
    <w:next w:val="1"/>
    <w:unhideWhenUsed/>
    <w:qFormat/>
    <w:uiPriority w:val="39"/>
    <w:pPr>
      <w:widowControl/>
      <w:numPr>
        <w:ilvl w:val="0"/>
        <w:numId w:val="0"/>
      </w:numPr>
      <w:tabs>
        <w:tab w:val="clear" w:pos="432"/>
      </w:tabs>
      <w:spacing w:before="240" w:beforeLines="0" w:after="0" w:afterLines="0" w:line="259" w:lineRule="auto"/>
      <w:outlineLvl w:val="9"/>
    </w:pPr>
    <w:rPr>
      <w:rFonts w:ascii="Calibri Light" w:hAnsi="Calibri Light" w:eastAsia="宋体" w:cs="黑体"/>
      <w:color w:val="2D73B3"/>
      <w:kern w:val="0"/>
    </w:rPr>
  </w:style>
  <w:style w:type="paragraph" w:customStyle="1" w:styleId="40">
    <w:name w:val="正文1"/>
    <w:qFormat/>
    <w:uiPriority w:val="0"/>
    <w:pPr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character" w:customStyle="1" w:styleId="41">
    <w:name w:val="标题 4 字符"/>
    <w:link w:val="6"/>
    <w:qFormat/>
    <w:uiPriority w:val="0"/>
    <w:rPr>
      <w:rFonts w:ascii="宋体" w:hAnsi="宋体" w:eastAsia="楷体"/>
      <w:b/>
      <w:bCs/>
      <w:kern w:val="2"/>
      <w:sz w:val="28"/>
      <w:szCs w:val="28"/>
    </w:rPr>
  </w:style>
  <w:style w:type="character" w:customStyle="1" w:styleId="42">
    <w:name w:val="无间隔 Char"/>
    <w:basedOn w:val="30"/>
    <w:link w:val="38"/>
    <w:qFormat/>
    <w:uiPriority w:val="0"/>
    <w:rPr>
      <w:rFonts w:hint="default" w:ascii="Times New Roman" w:hAnsi="Times New Roman" w:eastAsia="宋体"/>
      <w:sz w:val="22"/>
    </w:rPr>
  </w:style>
  <w:style w:type="character" w:customStyle="1" w:styleId="43">
    <w:name w:val="标题 3 字符"/>
    <w:link w:val="5"/>
    <w:qFormat/>
    <w:uiPriority w:val="0"/>
    <w:rPr>
      <w:rFonts w:ascii="黑体" w:hAnsi="黑体" w:eastAsia="黑体"/>
      <w:bCs/>
      <w:sz w:val="21"/>
    </w:rPr>
  </w:style>
  <w:style w:type="character" w:customStyle="1" w:styleId="44">
    <w:name w:val="标题 2 字符"/>
    <w:link w:val="4"/>
    <w:qFormat/>
    <w:uiPriority w:val="0"/>
    <w:rPr>
      <w:rFonts w:ascii="Times New Roman" w:hAnsi="Times New Roman" w:eastAsia="黑体" w:cs="Times New Roman"/>
      <w:kern w:val="0"/>
      <w:sz w:val="28"/>
      <w:szCs w:val="28"/>
    </w:rPr>
  </w:style>
  <w:style w:type="character" w:customStyle="1" w:styleId="45">
    <w:name w:val="批注文字 字符"/>
    <w:basedOn w:val="30"/>
    <w:link w:val="13"/>
    <w:qFormat/>
    <w:uiPriority w:val="0"/>
    <w:rPr>
      <w:rFonts w:ascii="Calibri" w:hAnsi="Calibri" w:cs="宋体"/>
      <w:kern w:val="2"/>
      <w:sz w:val="21"/>
      <w:szCs w:val="21"/>
    </w:rPr>
  </w:style>
  <w:style w:type="character" w:customStyle="1" w:styleId="46">
    <w:name w:val="批注主题 字符"/>
    <w:basedOn w:val="45"/>
    <w:link w:val="12"/>
    <w:qFormat/>
    <w:uiPriority w:val="0"/>
    <w:rPr>
      <w:rFonts w:ascii="Calibri" w:hAnsi="Calibri" w:cs="宋体"/>
      <w:b/>
      <w:bCs/>
      <w:kern w:val="2"/>
      <w:sz w:val="21"/>
      <w:szCs w:val="21"/>
    </w:rPr>
  </w:style>
  <w:style w:type="character" w:customStyle="1" w:styleId="47">
    <w:name w:val="批注框文本 字符"/>
    <w:basedOn w:val="30"/>
    <w:link w:val="20"/>
    <w:qFormat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17</Pages>
  <Words>532</Words>
  <Characters>3033</Characters>
  <Lines>25</Lines>
  <Paragraphs>7</Paragraphs>
  <TotalTime>0</TotalTime>
  <ScaleCrop>false</ScaleCrop>
  <LinksUpToDate>false</LinksUpToDate>
  <CharactersWithSpaces>0</CharactersWithSpaces>
  <Application>WPS Office_10.8.2.7058_F1E327BC-269C-435d-A152-05C5408002CA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zd</dc:creator>
  <cp:lastModifiedBy>user</cp:lastModifiedBy>
  <cp:lastPrinted>2021-05-10T08:48:00Z</cp:lastPrinted>
  <dcterms:modified xsi:type="dcterms:W3CDTF">2021-05-10T08:53:54Z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2052-10.8.2.7058</vt:lpwstr>
  </property>
  <property fmtid="{D5CDD505-2E9C-101B-9397-08002B2CF9AE}" pid="3" name="ICV">
    <vt:lpwstr>53CAE316E80D45F289FCC3B5DB225227</vt:lpwstr>
  </property>
  <property fmtid="{D5CDD505-2E9C-101B-9397-08002B2CF9AE}" pid="4" name="ribbonExt">
    <vt:lpwstr>{"btnPrintDOC":{"OnGetEnabled":true,"OnGetVisible":true,"OnGetLabel":"打印公文","GetImage":"icon/print.png"},"btnSaveFileTo":{"OnGetEnabled":true,"OnGetVisible":true,"OnGetLabel":"本地另存","GetImage":"icon/save.png"},"btnShowRevision":{"OnGetEnabled":true,"OnGetVisible":true,"OnGetLabel":"打开显示痕迹","GetImage":"icon/modify.png"},"btnAcceptAllRevisions":{"OnGetEnabled":true,"OnGetVisible":true,"OnGetLabel":"接受修订","GetImage":"icon/receive.png"},"btnRejectAllRevisions":{"OnGetEnabled":true,"OnGetVisible":true,"OnGetLabel":"拒绝修订","GetImage":"icon/reject.png"},"btnRedSuite":{"OnGetEnabled":false,"OnGetVisible":true,"OnGetLabel":"套版","GetImage":"icon/template.png"},"btnRedSuiteBack":{"OnGetEnabled":false,"OnGetVisible":true,"OnGetLabel":"恢复套版","GetImage":"icon/recover.png"},"btnSaveLastFile":{"OnGetEnabled":false,"OnGetVisible":true,"OnGetLabel":"保存终稿","GetImage":"icon/savelast.png"},"btnResume":{"OnGetEnabled":false,"OnGetVisible":true,"OnGetLabel":"恢复模板","GetImage":"icon/savelastrecover.png"},"btnSaveFile":{"OnGetEnabled":false,"OnGetVisible":true,"OnGetLabel":"保存文件","GetImage":"icon/save.png"},"btnNetSaveFile":{"OnGetEnabled":true,"OnGetVisible":true,"OnGetLabel":"存为公文","GetImage":"icon/netsave.png"},"FileSaveAs":{"OnGetEnabled":true},"FileSaveAsMenu":{"OnGetEnabled":true},"FilePrint":{"OnGetEnabled":true},"FilePrintMenu":{"OnGetEnabled":true},"ExportToPDF":{"OnGetEnabled":true},"ExportToOFD":{"OnGetEnabled":true,"OnGetVisible":true}}</vt:lpwstr>
  </property>
</Properties>
</file>