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360" w:lineRule="auto"/>
        <w:ind w:firstLine="221" w:firstLineChars="50"/>
        <w:rPr>
          <w:rFonts w:ascii="黑体" w:hAnsi="黑体" w:eastAsia="黑体"/>
          <w:b/>
          <w:color w:val="0070C0"/>
          <w:sz w:val="44"/>
          <w:szCs w:val="44"/>
        </w:rPr>
      </w:pPr>
      <w:bookmarkStart w:id="0" w:name="_Toc524448246"/>
      <w:r>
        <w:rPr>
          <w:rFonts w:hint="eastAsia" w:ascii="黑体" w:hAnsi="黑体" w:eastAsia="黑体"/>
          <w:b/>
          <w:color w:val="0070C0"/>
          <w:sz w:val="44"/>
          <w:szCs w:val="44"/>
        </w:rPr>
        <w:t>中央行政事业单位国有资产管理信息系统</w:t>
      </w:r>
    </w:p>
    <w:p>
      <w:pPr>
        <w:spacing w:before="0" w:after="0" w:line="360" w:lineRule="auto"/>
        <w:jc w:val="center"/>
        <w:rPr>
          <w:rFonts w:ascii="黑体" w:hAnsi="黑体" w:eastAsia="黑体"/>
          <w:b/>
          <w:color w:val="0070C0"/>
          <w:sz w:val="44"/>
          <w:szCs w:val="44"/>
        </w:rPr>
      </w:pPr>
      <w:r>
        <w:rPr>
          <w:rFonts w:hint="eastAsia" w:ascii="黑体" w:hAnsi="黑体" w:eastAsia="黑体"/>
          <w:b/>
          <w:color w:val="0070C0"/>
          <w:sz w:val="44"/>
          <w:szCs w:val="44"/>
        </w:rPr>
        <w:t>资产配置计划</w:t>
      </w:r>
      <w:r>
        <w:rPr>
          <w:rFonts w:hint="eastAsia" w:ascii="黑体" w:hAnsi="黑体" w:eastAsia="黑体"/>
          <w:b/>
          <w:color w:val="0070C0"/>
          <w:sz w:val="44"/>
          <w:szCs w:val="44"/>
          <w:lang w:eastAsia="zh-CN"/>
        </w:rPr>
        <w:t>编</w:t>
      </w:r>
      <w:r>
        <w:rPr>
          <w:rFonts w:hint="eastAsia" w:ascii="黑体" w:hAnsi="黑体" w:eastAsia="黑体"/>
          <w:b/>
          <w:color w:val="0070C0"/>
          <w:sz w:val="44"/>
          <w:szCs w:val="44"/>
        </w:rPr>
        <w:t>报操作说明</w:t>
      </w:r>
    </w:p>
    <w:p>
      <w:pPr>
        <w:spacing w:before="0" w:after="0" w:line="360" w:lineRule="auto"/>
        <w:rPr>
          <w:b/>
          <w:sz w:val="44"/>
          <w:szCs w:val="44"/>
        </w:rPr>
      </w:pPr>
    </w:p>
    <w:p>
      <w:pPr>
        <w:spacing w:before="0" w:after="0" w:line="360" w:lineRule="auto"/>
        <w:rPr>
          <w:b/>
          <w:sz w:val="44"/>
          <w:szCs w:val="44"/>
        </w:rPr>
      </w:pPr>
    </w:p>
    <w:p>
      <w:pPr>
        <w:pStyle w:val="19"/>
        <w:numPr>
          <w:ilvl w:val="0"/>
          <w:numId w:val="2"/>
        </w:numPr>
        <w:spacing w:before="0" w:after="0" w:line="360" w:lineRule="auto"/>
        <w:ind w:firstLineChars="0"/>
        <w:jc w:val="left"/>
        <w:rPr>
          <w:b/>
          <w:sz w:val="44"/>
          <w:szCs w:val="44"/>
        </w:rPr>
      </w:pPr>
      <w:r>
        <w:rPr>
          <w:b/>
          <w:sz w:val="44"/>
          <w:szCs w:val="44"/>
        </w:rPr>
        <w:t>用户登录</w:t>
      </w:r>
      <w:bookmarkEnd w:id="0"/>
    </w:p>
    <w:p>
      <w:pPr>
        <w:pStyle w:val="19"/>
        <w:numPr>
          <w:ilvl w:val="0"/>
          <w:numId w:val="3"/>
        </w:numPr>
        <w:ind w:firstLineChars="0"/>
        <w:jc w:val="left"/>
        <w:rPr>
          <w:b/>
        </w:rPr>
      </w:pPr>
      <w:r>
        <w:rPr>
          <w:rFonts w:hint="eastAsia"/>
        </w:rPr>
        <w:t>中央行政事业单位国有资产管理信息系统外网登录地址：</w:t>
      </w:r>
    </w:p>
    <w:p>
      <w:pPr>
        <w:ind w:firstLine="420" w:firstLineChars="175"/>
        <w:jc w:val="left"/>
        <w:rPr>
          <w:b/>
        </w:rPr>
      </w:pPr>
      <w:r>
        <w:rPr>
          <w:rFonts w:hint="eastAsia"/>
        </w:rPr>
        <w:t>建议使用360安全浏览器登录：</w:t>
      </w:r>
      <w:r>
        <w:fldChar w:fldCharType="begin"/>
      </w:r>
      <w:r>
        <w:instrText xml:space="preserve">HYPERLINK "http://zcgl.ggj.gov.cn/" </w:instrText>
      </w:r>
      <w:r>
        <w:fldChar w:fldCharType="separate"/>
      </w:r>
      <w:r>
        <w:rPr>
          <w:rFonts w:ascii="Calibri" w:hAnsi="Calibri" w:eastAsia="宋体" w:cs="Times New Roman"/>
          <w:b/>
          <w:color w:val="0563C1"/>
          <w:sz w:val="36"/>
          <w:u w:val="single"/>
        </w:rPr>
        <w:t>http://zcgl.ggj.gov.cn/</w:t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登录界面如下：正确输入用户名、密码和验证码后点击登录。</w:t>
      </w:r>
    </w:p>
    <w:p>
      <w:pPr>
        <w:rPr>
          <w:color w:val="FF0000"/>
        </w:rPr>
      </w:pPr>
      <w:r>
        <w:rPr>
          <w:rFonts w:hint="eastAsia"/>
          <w:color w:val="FF0000"/>
        </w:rPr>
        <w:t>（部门账号为4位部门编号，机关本级账号为4位部门编号+001；机关服务中心账号为4位部门编号+002）</w:t>
      </w:r>
    </w:p>
    <w:p>
      <w:pPr>
        <w:rPr>
          <w:b/>
          <w:sz w:val="44"/>
          <w:szCs w:val="44"/>
        </w:rPr>
      </w:pPr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1" o:spid="_x0000_s1026" type="#_x0000_t75" style="height:195.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如图，登录系统后点击主界面左上角展开系统功能菜单。</w:t>
      </w:r>
    </w:p>
    <w:p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2" o:spid="_x0000_s1027" type="#_x0000_t75" style="height:185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  <w:b/>
          <w:sz w:val="44"/>
          <w:szCs w:val="44"/>
        </w:rPr>
        <w:t>二、配置计划</w:t>
      </w:r>
      <w:r>
        <w:rPr>
          <w:rFonts w:hint="eastAsia"/>
          <w:b/>
          <w:sz w:val="44"/>
          <w:szCs w:val="44"/>
          <w:lang w:eastAsia="zh-CN"/>
        </w:rPr>
        <w:t>编</w:t>
      </w:r>
      <w:r>
        <w:rPr>
          <w:rFonts w:hint="eastAsia"/>
          <w:b/>
          <w:sz w:val="44"/>
          <w:szCs w:val="44"/>
        </w:rPr>
        <w:t>报</w:t>
      </w:r>
    </w:p>
    <w:p>
      <w:pPr>
        <w:spacing w:before="0" w:after="0" w:line="360" w:lineRule="auto"/>
        <w:ind w:firstLine="360" w:firstLineChars="150"/>
      </w:pPr>
      <w:r>
        <w:rPr>
          <w:rFonts w:hint="eastAsia"/>
        </w:rPr>
        <w:t>国管局发布资产配置计划填报任务后，</w:t>
      </w:r>
      <w:r>
        <w:t>各单位</w:t>
      </w:r>
      <w:r>
        <w:rPr>
          <w:rFonts w:hint="eastAsia"/>
        </w:rPr>
        <w:t>机关</w:t>
      </w:r>
      <w:r>
        <w:t>本级和机关服务中心</w:t>
      </w:r>
      <w:r>
        <w:rPr>
          <w:rFonts w:hint="eastAsia"/>
        </w:rPr>
        <w:t>根据单位实际情况如实填报</w:t>
      </w:r>
      <w:r>
        <w:t>资产配置计划</w:t>
      </w:r>
      <w:r>
        <w:rPr>
          <w:rFonts w:hint="eastAsia"/>
        </w:rPr>
        <w:t>申请。</w:t>
      </w:r>
    </w:p>
    <w:p>
      <w:pPr>
        <w:spacing w:before="0" w:after="0" w:line="360" w:lineRule="auto"/>
      </w:pPr>
      <w:r>
        <w:rPr>
          <w:rFonts w:hint="eastAsia"/>
        </w:rPr>
        <w:t>第一步如下图，系统左侧功能菜单依次点击</w:t>
      </w:r>
      <w:r>
        <w:rPr>
          <w:rFonts w:hint="eastAsia"/>
          <w:color w:val="FF0000"/>
        </w:rPr>
        <w:t>配置计划管理</w:t>
      </w:r>
      <w:r>
        <w:rPr>
          <w:rFonts w:hint="eastAsia"/>
        </w:rPr>
        <w:t>——</w:t>
      </w:r>
      <w:r>
        <w:rPr>
          <w:rFonts w:hint="eastAsia"/>
          <w:color w:val="FF0000"/>
        </w:rPr>
        <w:t>资产配置计划申请</w:t>
      </w:r>
      <w:r>
        <w:rPr>
          <w:rFonts w:hint="eastAsia"/>
        </w:rPr>
        <w:t>。</w:t>
      </w:r>
    </w:p>
    <w:p>
      <w:pPr>
        <w:spacing w:before="0" w:after="0" w:line="360" w:lineRule="auto"/>
      </w:pPr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16" o:spid="_x0000_s1028" type="#_x0000_t75" style="height:182.8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第二步如下图，在资产配置计划申请界面首先完善</w:t>
      </w:r>
      <w:r>
        <w:rPr>
          <w:rFonts w:hint="eastAsia"/>
          <w:color w:val="FF0000"/>
        </w:rPr>
        <w:t>单位基础信息</w:t>
      </w:r>
      <w:r>
        <w:rPr>
          <w:rFonts w:hint="eastAsia"/>
        </w:rPr>
        <w:t>，然后点击</w:t>
      </w:r>
      <w:r>
        <w:rPr>
          <w:rFonts w:hint="eastAsia"/>
          <w:color w:val="FF0000"/>
        </w:rPr>
        <w:t>保存</w:t>
      </w:r>
      <w:r>
        <w:rPr>
          <w:rFonts w:hint="eastAsia"/>
        </w:rPr>
        <w:t>按钮。</w:t>
      </w:r>
    </w:p>
    <w:p>
      <w:pPr>
        <w:rPr>
          <w:rFonts w:hint="eastAsia"/>
        </w:rPr>
      </w:pPr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17" o:spid="_x0000_s1029" type="#_x0000_t75" style="height:184.2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r>
        <w:rPr>
          <w:rFonts w:hint="eastAsia"/>
        </w:rPr>
        <w:t>第三步如下图，资产配置计划申请界面右上方，点击</w:t>
      </w:r>
      <w:r>
        <w:rPr>
          <w:rFonts w:hint="eastAsia"/>
          <w:color w:val="FF0000"/>
        </w:rPr>
        <w:t>资产配置计划</w:t>
      </w:r>
      <w:r>
        <w:rPr>
          <w:rFonts w:hint="eastAsia"/>
        </w:rPr>
        <w:t>，根据实际情况完善通用资产配置计划表，填写完成后点击</w:t>
      </w:r>
      <w:r>
        <w:rPr>
          <w:rFonts w:hint="eastAsia"/>
          <w:color w:val="FF0000"/>
        </w:rPr>
        <w:t>保存</w:t>
      </w:r>
      <w:r>
        <w:rPr>
          <w:rFonts w:hint="eastAsia"/>
        </w:rPr>
        <w:t>按钮并</w:t>
      </w:r>
      <w:r>
        <w:rPr>
          <w:rFonts w:hint="eastAsia"/>
          <w:color w:val="FF0000"/>
        </w:rPr>
        <w:t>上传附件</w:t>
      </w:r>
      <w:r>
        <w:rPr>
          <w:rFonts w:hint="eastAsia"/>
        </w:rPr>
        <w:t>，确认数据无</w:t>
      </w:r>
      <w:bookmarkStart w:id="2" w:name="_GoBack"/>
      <w:bookmarkEnd w:id="2"/>
      <w:r>
        <w:rPr>
          <w:rFonts w:hint="eastAsia"/>
        </w:rPr>
        <w:t>误后点击</w:t>
      </w:r>
      <w:r>
        <w:rPr>
          <w:rFonts w:hint="eastAsia"/>
          <w:color w:val="FF0000"/>
        </w:rPr>
        <w:t>提交</w:t>
      </w:r>
      <w:r>
        <w:rPr>
          <w:rFonts w:hint="eastAsia"/>
        </w:rPr>
        <w:t>按钮上报至主管部门。</w:t>
      </w:r>
    </w:p>
    <w:p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6" o:spid="_x0000_s1030" type="#_x0000_t75" style="height:184.6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r>
        <w:rPr>
          <w:rFonts w:hint="eastAsia"/>
        </w:rPr>
        <w:t>如下图，界面上方</w:t>
      </w:r>
      <w:r>
        <w:rPr>
          <w:rFonts w:hint="eastAsia"/>
          <w:color w:val="FF0000"/>
        </w:rPr>
        <w:t>流程跟踪</w:t>
      </w:r>
      <w:r>
        <w:rPr>
          <w:rFonts w:hint="eastAsia"/>
        </w:rPr>
        <w:t>按钮可以查看申报进度；</w:t>
      </w:r>
      <w:r>
        <w:rPr>
          <w:rFonts w:hint="eastAsia"/>
          <w:color w:val="FF0000"/>
        </w:rPr>
        <w:t>导出</w:t>
      </w:r>
      <w:r>
        <w:rPr>
          <w:rFonts w:hint="eastAsia"/>
        </w:rPr>
        <w:t>按钮可以导出EXCEL表格。</w:t>
      </w:r>
    </w:p>
    <w:p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11" o:spid="_x0000_s1031" type="#_x0000_t75" style="height:185.0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bookmarkStart w:id="1" w:name="_Toc524448251"/>
      <w:r>
        <w:rPr>
          <w:rFonts w:hint="eastAsia"/>
        </w:rPr>
        <w:t>第四步，各部门登陆4位数字的</w:t>
      </w:r>
      <w:r>
        <w:rPr>
          <w:rFonts w:hint="eastAsia"/>
          <w:color w:val="FF0000"/>
        </w:rPr>
        <w:t>部门账号</w:t>
      </w:r>
      <w:r>
        <w:rPr>
          <w:rFonts w:hint="eastAsia"/>
        </w:rPr>
        <w:t>，对机关本级和机关服务中心的资产配置计划申请进行审核，点击</w:t>
      </w:r>
      <w:r>
        <w:rPr>
          <w:rFonts w:hint="eastAsia"/>
          <w:color w:val="FF0000"/>
        </w:rPr>
        <w:t>通过</w:t>
      </w:r>
      <w:r>
        <w:rPr>
          <w:rFonts w:hint="eastAsia"/>
        </w:rPr>
        <w:t>按钮数据报送至国管局审批；点击</w:t>
      </w:r>
      <w:r>
        <w:rPr>
          <w:rFonts w:hint="eastAsia"/>
          <w:color w:val="FF0000"/>
        </w:rPr>
        <w:t>退回</w:t>
      </w:r>
      <w:r>
        <w:rPr>
          <w:rFonts w:hint="eastAsia"/>
        </w:rPr>
        <w:t>按钮，数据退回至原申报单位，单位调整配置计划后重新提交。</w:t>
      </w:r>
    </w:p>
    <w:p>
      <w:r>
        <w:rPr>
          <w:rFonts w:ascii="Calibri" w:hAnsi="Calibri" w:eastAsia="宋体" w:cs="黑体"/>
          <w:kern w:val="2"/>
          <w:sz w:val="24"/>
          <w:szCs w:val="22"/>
          <w:lang w:val="en-US" w:eastAsia="zh-CN" w:bidi="ar-SA"/>
        </w:rPr>
        <w:pict>
          <v:shape id="图片 3" o:spid="_x0000_s1032" type="#_x0000_t75" style="height:19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3575076">
    <w:nsid w:val="03CA1424"/>
    <w:multiLevelType w:val="multilevel"/>
    <w:tmpl w:val="03CA1424"/>
    <w:lvl w:ilvl="0" w:tentative="1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0192646">
    <w:nsid w:val="48221306"/>
    <w:multiLevelType w:val="multilevel"/>
    <w:tmpl w:val="48221306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1093416">
    <w:nsid w:val="47973B28"/>
    <w:multiLevelType w:val="multilevel"/>
    <w:tmpl w:val="47973B28"/>
    <w:lvl w:ilvl="0" w:tentative="1">
      <w:start w:val="1"/>
      <w:numFmt w:val="decimal"/>
      <w:pStyle w:val="2"/>
      <w:lvlText w:val="%1"/>
      <w:lvlJc w:val="left"/>
      <w:pPr>
        <w:ind w:left="432" w:hanging="432"/>
      </w:pPr>
    </w:lvl>
    <w:lvl w:ilvl="1" w:tentative="1">
      <w:start w:val="1"/>
      <w:numFmt w:val="decimal"/>
      <w:pStyle w:val="3"/>
      <w:lvlText w:val="%1.%2"/>
      <w:lvlJc w:val="left"/>
      <w:pPr>
        <w:ind w:left="576" w:hanging="576"/>
      </w:pPr>
    </w:lvl>
    <w:lvl w:ilvl="2" w:tentative="1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1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1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1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1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1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1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201093416"/>
  </w:num>
  <w:num w:numId="2">
    <w:abstractNumId w:val="63575076"/>
  </w:num>
  <w:num w:numId="3">
    <w:abstractNumId w:val="12101926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872F6"/>
    <w:rsid w:val="000167EB"/>
    <w:rsid w:val="00060268"/>
    <w:rsid w:val="00065888"/>
    <w:rsid w:val="00086C19"/>
    <w:rsid w:val="000B565C"/>
    <w:rsid w:val="000D0436"/>
    <w:rsid w:val="000F4C68"/>
    <w:rsid w:val="00116EA4"/>
    <w:rsid w:val="00124465"/>
    <w:rsid w:val="001378EF"/>
    <w:rsid w:val="001C1687"/>
    <w:rsid w:val="001F2567"/>
    <w:rsid w:val="00267D5F"/>
    <w:rsid w:val="002872F6"/>
    <w:rsid w:val="00293233"/>
    <w:rsid w:val="002F556E"/>
    <w:rsid w:val="00357595"/>
    <w:rsid w:val="003A62B4"/>
    <w:rsid w:val="003B7422"/>
    <w:rsid w:val="00411704"/>
    <w:rsid w:val="004220C2"/>
    <w:rsid w:val="00443F4B"/>
    <w:rsid w:val="0046201E"/>
    <w:rsid w:val="00493577"/>
    <w:rsid w:val="004B0A91"/>
    <w:rsid w:val="004B4BC8"/>
    <w:rsid w:val="00502898"/>
    <w:rsid w:val="00507F71"/>
    <w:rsid w:val="0053167C"/>
    <w:rsid w:val="00551161"/>
    <w:rsid w:val="005629B1"/>
    <w:rsid w:val="005977CE"/>
    <w:rsid w:val="005E6E3D"/>
    <w:rsid w:val="005F19D9"/>
    <w:rsid w:val="00607439"/>
    <w:rsid w:val="006A0E1D"/>
    <w:rsid w:val="006B0122"/>
    <w:rsid w:val="006B02FA"/>
    <w:rsid w:val="006D421D"/>
    <w:rsid w:val="00770A08"/>
    <w:rsid w:val="007A4A27"/>
    <w:rsid w:val="007D3956"/>
    <w:rsid w:val="0080424F"/>
    <w:rsid w:val="008554B1"/>
    <w:rsid w:val="00880D0A"/>
    <w:rsid w:val="008B6211"/>
    <w:rsid w:val="008D683B"/>
    <w:rsid w:val="0090658B"/>
    <w:rsid w:val="00925E58"/>
    <w:rsid w:val="0096601D"/>
    <w:rsid w:val="009C6DCB"/>
    <w:rsid w:val="009D4613"/>
    <w:rsid w:val="00A426F4"/>
    <w:rsid w:val="00A83253"/>
    <w:rsid w:val="00A91B43"/>
    <w:rsid w:val="00AA255C"/>
    <w:rsid w:val="00B05B92"/>
    <w:rsid w:val="00B17E9E"/>
    <w:rsid w:val="00B50C30"/>
    <w:rsid w:val="00D33630"/>
    <w:rsid w:val="00D441B0"/>
    <w:rsid w:val="00DB142B"/>
    <w:rsid w:val="00DD698F"/>
    <w:rsid w:val="00DF473A"/>
    <w:rsid w:val="00E30349"/>
    <w:rsid w:val="00E501AA"/>
    <w:rsid w:val="00E70FF1"/>
    <w:rsid w:val="00E76AA0"/>
    <w:rsid w:val="00EC0B4E"/>
    <w:rsid w:val="00EC2B9A"/>
    <w:rsid w:val="00EE211E"/>
    <w:rsid w:val="00F00587"/>
    <w:rsid w:val="00F03885"/>
    <w:rsid w:val="00F52297"/>
    <w:rsid w:val="00F55C5B"/>
    <w:rsid w:val="00F9339B"/>
    <w:rsid w:val="00FA552B"/>
    <w:rsid w:val="00FC62E3"/>
    <w:rsid w:val="540058E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4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 w:eastAsia="宋体" w:cs="黑体"/>
      <w:b/>
      <w:bCs/>
      <w:sz w:val="28"/>
      <w:szCs w:val="28"/>
    </w:rPr>
  </w:style>
  <w:style w:type="paragraph" w:styleId="6">
    <w:name w:val="heading 5"/>
    <w:basedOn w:val="1"/>
    <w:next w:val="1"/>
    <w:link w:val="25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libri Light" w:hAnsi="Calibri Light" w:eastAsia="宋体" w:cs="黑体"/>
      <w:b/>
      <w:bCs/>
      <w:szCs w:val="24"/>
    </w:rPr>
  </w:style>
  <w:style w:type="paragraph" w:styleId="8">
    <w:name w:val="heading 7"/>
    <w:basedOn w:val="1"/>
    <w:next w:val="1"/>
    <w:link w:val="27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28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 w:eastAsia="宋体" w:cs="黑体"/>
      <w:szCs w:val="24"/>
    </w:rPr>
  </w:style>
  <w:style w:type="paragraph" w:styleId="10">
    <w:name w:val="heading 9"/>
    <w:basedOn w:val="1"/>
    <w:next w:val="1"/>
    <w:link w:val="29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libri Light" w:hAnsi="Calibri Light" w:eastAsia="宋体" w:cs="黑体"/>
      <w:sz w:val="21"/>
      <w:szCs w:val="21"/>
    </w:rPr>
  </w:style>
  <w:style w:type="character" w:default="1" w:styleId="16">
    <w:name w:val="Default Paragraph Font"/>
    <w:unhideWhenUsed/>
    <w:uiPriority w:val="1"/>
  </w:style>
  <w:style w:type="table" w:default="1" w:styleId="18">
    <w:name w:val="Normal Table"/>
    <w:unhideWhenUsed/>
    <w:uiPriority w:val="99"/>
    <w:tblPr>
      <w:tblStyle w:val="1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Balloon Text"/>
    <w:basedOn w:val="1"/>
    <w:link w:val="32"/>
    <w:unhideWhenUsed/>
    <w:uiPriority w:val="99"/>
    <w:pPr>
      <w:spacing w:before="0" w:after="0"/>
    </w:pPr>
    <w:rPr>
      <w:sz w:val="18"/>
      <w:szCs w:val="18"/>
    </w:rPr>
  </w:style>
  <w:style w:type="paragraph" w:styleId="12">
    <w:name w:val="foot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uiPriority w:val="39"/>
  </w:style>
  <w:style w:type="paragraph" w:styleId="15">
    <w:name w:val="toc 2"/>
    <w:basedOn w:val="1"/>
    <w:next w:val="1"/>
    <w:unhideWhenUsed/>
    <w:uiPriority w:val="39"/>
    <w:pPr>
      <w:ind w:left="420" w:leftChars="200"/>
    </w:pPr>
  </w:style>
  <w:style w:type="character" w:styleId="17">
    <w:name w:val="Hyperlink"/>
    <w:basedOn w:val="16"/>
    <w:unhideWhenUsed/>
    <w:uiPriority w:val="99"/>
    <w:rPr>
      <w:color w:val="0563C1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libri Light" w:hAnsi="Calibri Light" w:eastAsia="宋体" w:cs="黑体"/>
      <w:b w:val="0"/>
      <w:bCs w:val="0"/>
      <w:color w:val="2D73B3"/>
      <w:kern w:val="0"/>
      <w:sz w:val="32"/>
      <w:szCs w:val="32"/>
    </w:rPr>
  </w:style>
  <w:style w:type="character" w:customStyle="1" w:styleId="21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6"/>
    <w:link w:val="3"/>
    <w:uiPriority w:val="9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23">
    <w:name w:val="标题 3 Char"/>
    <w:basedOn w:val="16"/>
    <w:link w:val="4"/>
    <w:semiHidden/>
    <w:uiPriority w:val="9"/>
    <w:rPr>
      <w:b/>
      <w:bCs/>
      <w:sz w:val="32"/>
      <w:szCs w:val="32"/>
    </w:rPr>
  </w:style>
  <w:style w:type="character" w:customStyle="1" w:styleId="24">
    <w:name w:val="标题 4 Char"/>
    <w:basedOn w:val="16"/>
    <w:link w:val="5"/>
    <w:semiHidden/>
    <w:uiPriority w:val="9"/>
    <w:rPr>
      <w:rFonts w:ascii="Calibri Light" w:hAnsi="Calibri Light" w:eastAsia="宋体" w:cs="黑体"/>
      <w:b/>
      <w:bCs/>
      <w:sz w:val="28"/>
      <w:szCs w:val="28"/>
    </w:rPr>
  </w:style>
  <w:style w:type="character" w:customStyle="1" w:styleId="25">
    <w:name w:val="标题 5 Char"/>
    <w:basedOn w:val="16"/>
    <w:link w:val="6"/>
    <w:semiHidden/>
    <w:uiPriority w:val="9"/>
    <w:rPr>
      <w:b/>
      <w:bCs/>
      <w:sz w:val="28"/>
      <w:szCs w:val="28"/>
    </w:rPr>
  </w:style>
  <w:style w:type="character" w:customStyle="1" w:styleId="26">
    <w:name w:val="标题 6 Char"/>
    <w:basedOn w:val="16"/>
    <w:link w:val="7"/>
    <w:semiHidden/>
    <w:uiPriority w:val="9"/>
    <w:rPr>
      <w:rFonts w:ascii="Calibri Light" w:hAnsi="Calibri Light" w:eastAsia="宋体" w:cs="黑体"/>
      <w:b/>
      <w:bCs/>
      <w:sz w:val="24"/>
      <w:szCs w:val="24"/>
    </w:rPr>
  </w:style>
  <w:style w:type="character" w:customStyle="1" w:styleId="27">
    <w:name w:val="标题 7 Char"/>
    <w:basedOn w:val="16"/>
    <w:link w:val="8"/>
    <w:semiHidden/>
    <w:uiPriority w:val="9"/>
    <w:rPr>
      <w:b/>
      <w:bCs/>
      <w:sz w:val="24"/>
      <w:szCs w:val="24"/>
    </w:rPr>
  </w:style>
  <w:style w:type="character" w:customStyle="1" w:styleId="28">
    <w:name w:val="标题 8 Char"/>
    <w:basedOn w:val="16"/>
    <w:link w:val="9"/>
    <w:semiHidden/>
    <w:uiPriority w:val="9"/>
    <w:rPr>
      <w:rFonts w:ascii="Calibri Light" w:hAnsi="Calibri Light" w:eastAsia="宋体" w:cs="黑体"/>
      <w:sz w:val="24"/>
      <w:szCs w:val="24"/>
    </w:rPr>
  </w:style>
  <w:style w:type="character" w:customStyle="1" w:styleId="29">
    <w:name w:val="标题 9 Char"/>
    <w:basedOn w:val="16"/>
    <w:link w:val="10"/>
    <w:semiHidden/>
    <w:uiPriority w:val="9"/>
    <w:rPr>
      <w:rFonts w:ascii="Calibri Light" w:hAnsi="Calibri Light" w:eastAsia="宋体" w:cs="黑体"/>
      <w:szCs w:val="21"/>
    </w:rPr>
  </w:style>
  <w:style w:type="character" w:customStyle="1" w:styleId="30">
    <w:name w:val="页眉 Char"/>
    <w:basedOn w:val="16"/>
    <w:link w:val="13"/>
    <w:uiPriority w:val="99"/>
    <w:rPr>
      <w:sz w:val="18"/>
      <w:szCs w:val="18"/>
    </w:rPr>
  </w:style>
  <w:style w:type="character" w:customStyle="1" w:styleId="31">
    <w:name w:val="页脚 Char"/>
    <w:basedOn w:val="16"/>
    <w:link w:val="12"/>
    <w:uiPriority w:val="99"/>
    <w:rPr>
      <w:sz w:val="18"/>
      <w:szCs w:val="18"/>
    </w:rPr>
  </w:style>
  <w:style w:type="character" w:customStyle="1" w:styleId="32">
    <w:name w:val="批注框文本 Char"/>
    <w:basedOn w:val="16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535</Characters>
  <Lines>4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2018-09-11T02:05:00Z</dcterms:created>
  <dc:creator>张平天</dc:creator>
  <cp:lastModifiedBy>Administrator</cp:lastModifiedBy>
  <dcterms:modified xsi:type="dcterms:W3CDTF">2018-09-29T01:30:39Z</dcterms:modified>
  <dc:title>中央行政事业单位国有资产管理信息系统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